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5B" w:rsidRDefault="00DB2C5B" w:rsidP="00DB2C5B">
      <w:bookmarkStart w:id="0" w:name="_GoBack"/>
      <w:bookmarkEnd w:id="0"/>
    </w:p>
    <w:p w:rsidR="008220DA" w:rsidRPr="00677D5B" w:rsidRDefault="00DB2C5B" w:rsidP="00DB2C5B">
      <w:pPr>
        <w:jc w:val="right"/>
        <w:rPr>
          <w:rFonts w:ascii="Tahoma" w:hAnsi="Tahoma" w:cs="Tahoma"/>
          <w:b/>
          <w:bCs/>
        </w:rPr>
      </w:pPr>
      <w:r w:rsidRPr="00DB2C5B">
        <w:rPr>
          <w:rFonts w:ascii="Tahoma" w:hAnsi="Tahoma" w:cs="Tahoma"/>
          <w:b/>
          <w:bCs/>
          <w:noProof/>
          <w:lang w:eastAsia="en-GB"/>
        </w:rPr>
        <mc:AlternateContent>
          <mc:Choice Requires="wps">
            <w:drawing>
              <wp:anchor distT="45720" distB="45720" distL="114300" distR="114300" simplePos="0" relativeHeight="251660288" behindDoc="0" locked="0" layoutInCell="1" allowOverlap="1" wp14:anchorId="57C70945" wp14:editId="07CA62AB">
                <wp:simplePos x="0" y="0"/>
                <wp:positionH relativeFrom="margin">
                  <wp:align>left</wp:align>
                </wp:positionH>
                <wp:positionV relativeFrom="paragraph">
                  <wp:posOffset>7620</wp:posOffset>
                </wp:positionV>
                <wp:extent cx="419100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819150"/>
                        </a:xfrm>
                        <a:prstGeom prst="rect">
                          <a:avLst/>
                        </a:prstGeom>
                        <a:solidFill>
                          <a:srgbClr val="FFFFFF"/>
                        </a:solidFill>
                        <a:ln w="9525">
                          <a:solidFill>
                            <a:srgbClr val="000000"/>
                          </a:solidFill>
                          <a:miter lim="800000"/>
                          <a:headEnd/>
                          <a:tailEnd/>
                        </a:ln>
                      </wps:spPr>
                      <wps:txbx>
                        <w:txbxContent>
                          <w:p w:rsidR="00421344" w:rsidRPr="006E3760" w:rsidRDefault="00A67C7E">
                            <w:pPr>
                              <w:rPr>
                                <w:rFonts w:ascii="Verdana" w:hAnsi="Verdana"/>
                                <w:b/>
                                <w:color w:val="0070C0"/>
                                <w:sz w:val="28"/>
                                <w:szCs w:val="28"/>
                              </w:rPr>
                            </w:pPr>
                            <w:r>
                              <w:rPr>
                                <w:rFonts w:ascii="Verdana" w:hAnsi="Verdana"/>
                                <w:b/>
                                <w:color w:val="0070C0"/>
                                <w:sz w:val="28"/>
                                <w:szCs w:val="28"/>
                              </w:rPr>
                              <w:t>Non-Formulary Medicine</w:t>
                            </w:r>
                            <w:r w:rsidR="000F5940">
                              <w:rPr>
                                <w:rFonts w:ascii="Verdana" w:hAnsi="Verdana"/>
                                <w:b/>
                                <w:color w:val="0070C0"/>
                                <w:sz w:val="28"/>
                                <w:szCs w:val="28"/>
                              </w:rPr>
                              <w:t xml:space="preserve"> </w:t>
                            </w:r>
                            <w:r w:rsidR="00C87D07" w:rsidRPr="006E3760">
                              <w:rPr>
                                <w:rFonts w:ascii="Verdana" w:hAnsi="Verdana"/>
                                <w:b/>
                                <w:color w:val="0070C0"/>
                                <w:sz w:val="28"/>
                                <w:szCs w:val="28"/>
                              </w:rPr>
                              <w:t>Request</w:t>
                            </w:r>
                            <w:r w:rsidR="00DB2C5B" w:rsidRPr="006E3760">
                              <w:rPr>
                                <w:rFonts w:ascii="Verdana" w:hAnsi="Verdana"/>
                                <w:b/>
                                <w:color w:val="0070C0"/>
                                <w:sz w:val="28"/>
                                <w:szCs w:val="28"/>
                              </w:rPr>
                              <w:t xml:space="preserve"> Form</w:t>
                            </w:r>
                          </w:p>
                          <w:p w:rsidR="006B6E59" w:rsidRPr="00421344" w:rsidRDefault="00DB2C5B">
                            <w:pPr>
                              <w:rPr>
                                <w:rFonts w:ascii="Verdana" w:hAnsi="Verdana"/>
                                <w:sz w:val="20"/>
                                <w:szCs w:val="20"/>
                              </w:rPr>
                            </w:pPr>
                            <w:r w:rsidRPr="00421344">
                              <w:rPr>
                                <w:rFonts w:ascii="Verdana" w:hAnsi="Verdana"/>
                                <w:sz w:val="20"/>
                                <w:szCs w:val="20"/>
                              </w:rPr>
                              <w:t>F</w:t>
                            </w:r>
                            <w:r w:rsidR="006B6E59" w:rsidRPr="00421344">
                              <w:rPr>
                                <w:rFonts w:ascii="Verdana" w:hAnsi="Verdana"/>
                                <w:sz w:val="20"/>
                                <w:szCs w:val="20"/>
                              </w:rPr>
                              <w:t>or Low Acquisition Cost Product</w:t>
                            </w:r>
                            <w:r w:rsidR="00421344">
                              <w:rPr>
                                <w:rFonts w:ascii="Verdana" w:hAnsi="Verdana"/>
                                <w:sz w:val="20"/>
                                <w:szCs w:val="20"/>
                              </w:rPr>
                              <w:t>s with a UK license</w:t>
                            </w:r>
                            <w:r w:rsidR="0053466A">
                              <w:rPr>
                                <w:rFonts w:ascii="Verdana" w:hAnsi="Verdana"/>
                                <w:sz w:val="20"/>
                                <w:szCs w:val="20"/>
                              </w:rPr>
                              <w:t>.</w:t>
                            </w:r>
                            <w:r w:rsidRPr="00421344">
                              <w:rPr>
                                <w:rFonts w:ascii="Verdana" w:hAnsi="Verdana"/>
                                <w:sz w:val="20"/>
                                <w:szCs w:val="20"/>
                              </w:rPr>
                              <w:t xml:space="preserve"> </w:t>
                            </w:r>
                            <w:r w:rsidR="0053466A">
                              <w:rPr>
                                <w:rFonts w:ascii="Verdana" w:hAnsi="Verdana"/>
                                <w:sz w:val="20"/>
                                <w:szCs w:val="20"/>
                              </w:rPr>
                              <w:t>N</w:t>
                            </w:r>
                            <w:r w:rsidRPr="00421344">
                              <w:rPr>
                                <w:rFonts w:ascii="Verdana" w:hAnsi="Verdana"/>
                                <w:sz w:val="20"/>
                                <w:szCs w:val="20"/>
                              </w:rPr>
                              <w:t>et cost &lt;£5000 per patient per year</w:t>
                            </w:r>
                            <w:r w:rsidR="00C87D07" w:rsidRPr="00421344">
                              <w:rPr>
                                <w:rFonts w:ascii="Verdana" w:hAnsi="Verdana"/>
                                <w:sz w:val="20"/>
                                <w:szCs w:val="20"/>
                              </w:rPr>
                              <w:t>.</w:t>
                            </w:r>
                            <w:r w:rsidR="00C34AB3" w:rsidRPr="00421344">
                              <w:rPr>
                                <w:rFonts w:ascii="Verdana" w:hAnsi="Verdana"/>
                                <w:sz w:val="20"/>
                                <w:szCs w:val="20"/>
                              </w:rPr>
                              <w:t xml:space="preserve"> </w:t>
                            </w:r>
                            <w:r w:rsidR="006B6E59" w:rsidRPr="00421344">
                              <w:rPr>
                                <w:rFonts w:ascii="Tahoma" w:hAnsi="Tahoma" w:cs="Tahoma"/>
                                <w:sz w:val="20"/>
                                <w:szCs w:val="20"/>
                              </w:rPr>
                              <w:t>Refer to the CTMUHB Access to Medicines algorithm for further details.</w:t>
                            </w:r>
                          </w:p>
                          <w:p w:rsidR="00D46FF6" w:rsidRDefault="00D46F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70945" id="_x0000_t202" coordsize="21600,21600" o:spt="202" path="m,l,21600r21600,l21600,xe">
                <v:stroke joinstyle="miter"/>
                <v:path gradientshapeok="t" o:connecttype="rect"/>
              </v:shapetype>
              <v:shape id="Text Box 2" o:spid="_x0000_s1026" type="#_x0000_t202" style="position:absolute;left:0;text-align:left;margin-left:0;margin-top:.6pt;width:330pt;height:6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">
                <v:textbox>
                  <w:txbxContent>
                    <w:p w:rsidR="00421344" w:rsidRPr="006E3760" w:rsidRDefault="00A67C7E">
                      <w:pPr>
                        <w:rPr>
                          <w:rFonts w:ascii="Verdana" w:hAnsi="Verdana"/>
                          <w:b/>
                          <w:color w:val="0070C0"/>
                          <w:sz w:val="28"/>
                          <w:szCs w:val="28"/>
                        </w:rPr>
                      </w:pPr>
                      <w:r>
                        <w:rPr>
                          <w:rFonts w:ascii="Verdana" w:hAnsi="Verdana"/>
                          <w:b/>
                          <w:color w:val="0070C0"/>
                          <w:sz w:val="28"/>
                          <w:szCs w:val="28"/>
                        </w:rPr>
                        <w:t>Non-Formulary Medicine</w:t>
                      </w:r>
                      <w:r w:rsidR="000F5940">
                        <w:rPr>
                          <w:rFonts w:ascii="Verdana" w:hAnsi="Verdana"/>
                          <w:b/>
                          <w:color w:val="0070C0"/>
                          <w:sz w:val="28"/>
                          <w:szCs w:val="28"/>
                        </w:rPr>
                        <w:t xml:space="preserve"> </w:t>
                      </w:r>
                      <w:r w:rsidR="00C87D07" w:rsidRPr="006E3760">
                        <w:rPr>
                          <w:rFonts w:ascii="Verdana" w:hAnsi="Verdana"/>
                          <w:b/>
                          <w:color w:val="0070C0"/>
                          <w:sz w:val="28"/>
                          <w:szCs w:val="28"/>
                        </w:rPr>
                        <w:t>Request</w:t>
                      </w:r>
                      <w:r w:rsidR="00DB2C5B" w:rsidRPr="006E3760">
                        <w:rPr>
                          <w:rFonts w:ascii="Verdana" w:hAnsi="Verdana"/>
                          <w:b/>
                          <w:color w:val="0070C0"/>
                          <w:sz w:val="28"/>
                          <w:szCs w:val="28"/>
                        </w:rPr>
                        <w:t xml:space="preserve"> Form</w:t>
                      </w:r>
                    </w:p>
                    <w:p w:rsidR="006B6E59" w:rsidRPr="00421344" w:rsidRDefault="00DB2C5B">
                      <w:pPr>
                        <w:rPr>
                          <w:rFonts w:ascii="Verdana" w:hAnsi="Verdana"/>
                          <w:sz w:val="20"/>
                          <w:szCs w:val="20"/>
                        </w:rPr>
                      </w:pPr>
                      <w:r w:rsidRPr="00421344">
                        <w:rPr>
                          <w:rFonts w:ascii="Verdana" w:hAnsi="Verdana"/>
                          <w:sz w:val="20"/>
                          <w:szCs w:val="20"/>
                        </w:rPr>
                        <w:t>F</w:t>
                      </w:r>
                      <w:r w:rsidR="006B6E59" w:rsidRPr="00421344">
                        <w:rPr>
                          <w:rFonts w:ascii="Verdana" w:hAnsi="Verdana"/>
                          <w:sz w:val="20"/>
                          <w:szCs w:val="20"/>
                        </w:rPr>
                        <w:t>or Low Acquisition Cost Product</w:t>
                      </w:r>
                      <w:r w:rsidR="00421344">
                        <w:rPr>
                          <w:rFonts w:ascii="Verdana" w:hAnsi="Verdana"/>
                          <w:sz w:val="20"/>
                          <w:szCs w:val="20"/>
                        </w:rPr>
                        <w:t>s with a UK license</w:t>
                      </w:r>
                      <w:r w:rsidR="0053466A">
                        <w:rPr>
                          <w:rFonts w:ascii="Verdana" w:hAnsi="Verdana"/>
                          <w:sz w:val="20"/>
                          <w:szCs w:val="20"/>
                        </w:rPr>
                        <w:t>.</w:t>
                      </w:r>
                      <w:r w:rsidRPr="00421344">
                        <w:rPr>
                          <w:rFonts w:ascii="Verdana" w:hAnsi="Verdana"/>
                          <w:sz w:val="20"/>
                          <w:szCs w:val="20"/>
                        </w:rPr>
                        <w:t xml:space="preserve"> </w:t>
                      </w:r>
                      <w:r w:rsidR="0053466A">
                        <w:rPr>
                          <w:rFonts w:ascii="Verdana" w:hAnsi="Verdana"/>
                          <w:sz w:val="20"/>
                          <w:szCs w:val="20"/>
                        </w:rPr>
                        <w:t>N</w:t>
                      </w:r>
                      <w:r w:rsidRPr="00421344">
                        <w:rPr>
                          <w:rFonts w:ascii="Verdana" w:hAnsi="Verdana"/>
                          <w:sz w:val="20"/>
                          <w:szCs w:val="20"/>
                        </w:rPr>
                        <w:t>et cost &lt;£5000 per patient per year</w:t>
                      </w:r>
                      <w:r w:rsidR="00C87D07" w:rsidRPr="00421344">
                        <w:rPr>
                          <w:rFonts w:ascii="Verdana" w:hAnsi="Verdana"/>
                          <w:sz w:val="20"/>
                          <w:szCs w:val="20"/>
                        </w:rPr>
                        <w:t>.</w:t>
                      </w:r>
                      <w:r w:rsidR="00C34AB3" w:rsidRPr="00421344">
                        <w:rPr>
                          <w:rFonts w:ascii="Verdana" w:hAnsi="Verdana"/>
                          <w:sz w:val="20"/>
                          <w:szCs w:val="20"/>
                        </w:rPr>
                        <w:t xml:space="preserve"> </w:t>
                      </w:r>
                      <w:r w:rsidR="006B6E59" w:rsidRPr="00421344">
                        <w:rPr>
                          <w:rFonts w:ascii="Tahoma" w:hAnsi="Tahoma" w:cs="Tahoma"/>
                          <w:sz w:val="20"/>
                          <w:szCs w:val="20"/>
                        </w:rPr>
                        <w:t>Refer to the CTMUHB Access to Medicines algorithm for further details.</w:t>
                      </w:r>
                    </w:p>
                    <w:p w:rsidR="00D46FF6" w:rsidRDefault="00D46FF6"/>
                  </w:txbxContent>
                </v:textbox>
                <w10:wrap type="square" anchorx="margin"/>
              </v:shape>
            </w:pict>
          </mc:Fallback>
        </mc:AlternateContent>
      </w:r>
      <w:r w:rsidRPr="00DB2C5B">
        <w:rPr>
          <w:rFonts w:ascii="Tahoma" w:hAnsi="Tahoma" w:cs="Tahoma"/>
          <w:b/>
          <w:bCs/>
          <w:noProof/>
          <w:lang w:eastAsia="en-GB"/>
        </w:rPr>
        <w:t xml:space="preserve"> </w:t>
      </w:r>
      <w:r w:rsidRPr="00E02142">
        <w:rPr>
          <w:noProof/>
          <w:lang w:eastAsia="en-GB"/>
        </w:rPr>
        <w:drawing>
          <wp:inline distT="0" distB="0" distL="0" distR="0" wp14:anchorId="7861EE8B" wp14:editId="386FE25C">
            <wp:extent cx="2286000" cy="657225"/>
            <wp:effectExtent l="0" t="0" r="0" b="9525"/>
            <wp:docPr id="5" name="Picture 4" descr="http://ctuhb-intranet/useful/Cwm%20Taf%20UHB%20Logo%20and%20Letterhead/CWM%20TAF%20MORGANNWG_University%20Health%20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tuhb-intranet/useful/Cwm%20Taf%20UHB%20Logo%20and%20Letterhead/CWM%20TAF%20MORGANNWG_University%20Health%20Boar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657225"/>
                    </a:xfrm>
                    <a:prstGeom prst="rect">
                      <a:avLst/>
                    </a:prstGeom>
                    <a:noFill/>
                    <a:ln>
                      <a:noFill/>
                    </a:ln>
                  </pic:spPr>
                </pic:pic>
              </a:graphicData>
            </a:graphic>
          </wp:inline>
        </w:drawing>
      </w:r>
    </w:p>
    <w:p w:rsidR="00B12CF6" w:rsidRDefault="00B12CF6" w:rsidP="008220DA">
      <w:pPr>
        <w:rPr>
          <w:rFonts w:ascii="Tahoma" w:hAnsi="Tahoma" w:cs="Tahoma"/>
        </w:rPr>
      </w:pPr>
    </w:p>
    <w:p w:rsidR="008220DA" w:rsidRDefault="008220DA" w:rsidP="008220DA">
      <w:pPr>
        <w:rPr>
          <w:rFonts w:ascii="Tahoma" w:hAnsi="Tahoma" w:cs="Tahoma"/>
          <w:sz w:val="22"/>
          <w:szCs w:val="22"/>
        </w:rPr>
      </w:pPr>
      <w:r w:rsidRPr="00D46FF6">
        <w:rPr>
          <w:rFonts w:ascii="Tahoma" w:hAnsi="Tahoma" w:cs="Tahoma"/>
          <w:sz w:val="22"/>
          <w:szCs w:val="22"/>
        </w:rPr>
        <w:t>This form must be completed and returned to the pharmacy before the</w:t>
      </w:r>
      <w:r w:rsidR="005012B7" w:rsidRPr="00D46FF6">
        <w:rPr>
          <w:rFonts w:ascii="Tahoma" w:hAnsi="Tahoma" w:cs="Tahoma"/>
          <w:sz w:val="22"/>
          <w:szCs w:val="22"/>
        </w:rPr>
        <w:t xml:space="preserve"> medicine</w:t>
      </w:r>
      <w:r w:rsidR="00C564E7">
        <w:rPr>
          <w:rFonts w:ascii="Tahoma" w:hAnsi="Tahoma" w:cs="Tahoma"/>
          <w:sz w:val="22"/>
          <w:szCs w:val="22"/>
        </w:rPr>
        <w:t xml:space="preserve"> can be ordered. </w:t>
      </w:r>
      <w:r w:rsidR="005012B7" w:rsidRPr="00D46FF6">
        <w:rPr>
          <w:rFonts w:ascii="Tahoma" w:hAnsi="Tahoma" w:cs="Tahoma"/>
          <w:sz w:val="22"/>
          <w:szCs w:val="22"/>
        </w:rPr>
        <w:t>Medicine</w:t>
      </w:r>
      <w:r w:rsidRPr="00D46FF6">
        <w:rPr>
          <w:rFonts w:ascii="Tahoma" w:hAnsi="Tahoma" w:cs="Tahoma"/>
          <w:sz w:val="22"/>
          <w:szCs w:val="22"/>
        </w:rPr>
        <w:t xml:space="preserve">s not included in </w:t>
      </w:r>
      <w:r w:rsidRPr="009E2844">
        <w:rPr>
          <w:rFonts w:ascii="Tahoma" w:hAnsi="Tahoma" w:cs="Tahoma"/>
          <w:sz w:val="22"/>
          <w:szCs w:val="22"/>
        </w:rPr>
        <w:t>the formulary are not routinely stocked. Supplies can usually be obtained within 48 hours.</w:t>
      </w:r>
    </w:p>
    <w:p w:rsidR="00C564E7" w:rsidRDefault="00C564E7" w:rsidP="008220DA">
      <w:pPr>
        <w:rPr>
          <w:rFonts w:ascii="Tahoma" w:hAnsi="Tahoma" w:cs="Tahoma"/>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4111"/>
      </w:tblGrid>
      <w:tr w:rsidR="003D06C0" w:rsidRPr="00E44220" w:rsidTr="009F294F">
        <w:tc>
          <w:tcPr>
            <w:tcW w:w="10485" w:type="dxa"/>
            <w:gridSpan w:val="2"/>
            <w:shd w:val="pct12" w:color="auto" w:fill="FFFFFF"/>
          </w:tcPr>
          <w:p w:rsidR="003D06C0" w:rsidRPr="00E44220" w:rsidRDefault="003D06C0" w:rsidP="00A45DA6">
            <w:pPr>
              <w:rPr>
                <w:rFonts w:ascii="Tahoma" w:hAnsi="Tahoma" w:cs="Tahoma"/>
                <w:b/>
              </w:rPr>
            </w:pPr>
            <w:r w:rsidRPr="00E44220">
              <w:rPr>
                <w:rFonts w:ascii="Tahoma" w:hAnsi="Tahoma" w:cs="Tahoma"/>
                <w:b/>
              </w:rPr>
              <w:t>Product Details:</w:t>
            </w:r>
          </w:p>
        </w:tc>
      </w:tr>
      <w:tr w:rsidR="003D06C0" w:rsidRPr="00E44220" w:rsidTr="009F294F">
        <w:tc>
          <w:tcPr>
            <w:tcW w:w="6374" w:type="dxa"/>
          </w:tcPr>
          <w:p w:rsidR="003D06C0" w:rsidRPr="00E44220" w:rsidRDefault="009F294F" w:rsidP="00A45DA6">
            <w:pPr>
              <w:rPr>
                <w:rFonts w:ascii="Tahoma" w:hAnsi="Tahoma" w:cs="Tahoma"/>
                <w:b/>
              </w:rPr>
            </w:pPr>
            <w:r>
              <w:rPr>
                <w:rFonts w:ascii="Tahoma" w:hAnsi="Tahoma" w:cs="Tahoma"/>
                <w:b/>
              </w:rPr>
              <w:t xml:space="preserve">Generic </w:t>
            </w:r>
            <w:r w:rsidR="00E57C49">
              <w:rPr>
                <w:rFonts w:ascii="Tahoma" w:hAnsi="Tahoma" w:cs="Tahoma"/>
                <w:b/>
              </w:rPr>
              <w:t>n</w:t>
            </w:r>
            <w:r w:rsidR="003D06C0" w:rsidRPr="00E44220">
              <w:rPr>
                <w:rFonts w:ascii="Tahoma" w:hAnsi="Tahoma" w:cs="Tahoma"/>
                <w:b/>
              </w:rPr>
              <w:t xml:space="preserve">ame:  </w:t>
            </w:r>
          </w:p>
          <w:p w:rsidR="00914467" w:rsidRDefault="00914467" w:rsidP="00A45DA6">
            <w:pPr>
              <w:rPr>
                <w:rFonts w:ascii="Tahoma" w:hAnsi="Tahoma" w:cs="Tahoma"/>
              </w:rPr>
            </w:pPr>
          </w:p>
          <w:p w:rsidR="009F294F" w:rsidRPr="009F294F" w:rsidRDefault="00E57C49" w:rsidP="00A45DA6">
            <w:pPr>
              <w:rPr>
                <w:rFonts w:ascii="Tahoma" w:hAnsi="Tahoma" w:cs="Tahoma"/>
                <w:b/>
              </w:rPr>
            </w:pPr>
            <w:r>
              <w:rPr>
                <w:rFonts w:ascii="Tahoma" w:hAnsi="Tahoma" w:cs="Tahoma"/>
                <w:b/>
              </w:rPr>
              <w:t>Brand n</w:t>
            </w:r>
            <w:r w:rsidR="009F294F" w:rsidRPr="009F294F">
              <w:rPr>
                <w:rFonts w:ascii="Tahoma" w:hAnsi="Tahoma" w:cs="Tahoma"/>
                <w:b/>
              </w:rPr>
              <w:t>ame:</w:t>
            </w:r>
          </w:p>
        </w:tc>
        <w:tc>
          <w:tcPr>
            <w:tcW w:w="4111" w:type="dxa"/>
          </w:tcPr>
          <w:p w:rsidR="003D06C0" w:rsidRPr="00E44220" w:rsidRDefault="00E57C49" w:rsidP="00A45DA6">
            <w:pPr>
              <w:rPr>
                <w:rFonts w:ascii="Tahoma" w:hAnsi="Tahoma" w:cs="Tahoma"/>
                <w:b/>
              </w:rPr>
            </w:pPr>
            <w:r>
              <w:rPr>
                <w:rFonts w:ascii="Tahoma" w:hAnsi="Tahoma" w:cs="Tahoma"/>
                <w:b/>
              </w:rPr>
              <w:t>Dose form and s</w:t>
            </w:r>
            <w:r w:rsidR="003D06C0" w:rsidRPr="00E44220">
              <w:rPr>
                <w:rFonts w:ascii="Tahoma" w:hAnsi="Tahoma" w:cs="Tahoma"/>
                <w:b/>
              </w:rPr>
              <w:t>trength:</w:t>
            </w:r>
          </w:p>
          <w:p w:rsidR="003D06C0" w:rsidRPr="00E44220" w:rsidRDefault="003D06C0" w:rsidP="00A45DA6">
            <w:pPr>
              <w:rPr>
                <w:rFonts w:ascii="Tahoma" w:hAnsi="Tahoma" w:cs="Tahoma"/>
                <w:b/>
              </w:rPr>
            </w:pPr>
          </w:p>
          <w:p w:rsidR="003D06C0" w:rsidRPr="00E44220" w:rsidRDefault="003D06C0" w:rsidP="00A45DA6">
            <w:pPr>
              <w:rPr>
                <w:rFonts w:ascii="Tahoma" w:hAnsi="Tahoma" w:cs="Tahoma"/>
                <w:b/>
              </w:rPr>
            </w:pPr>
          </w:p>
          <w:p w:rsidR="003D06C0" w:rsidRPr="00E44220" w:rsidRDefault="003D06C0" w:rsidP="00A45DA6">
            <w:pPr>
              <w:rPr>
                <w:rFonts w:ascii="Tahoma" w:hAnsi="Tahoma" w:cs="Tahoma"/>
                <w:b/>
              </w:rPr>
            </w:pPr>
          </w:p>
        </w:tc>
      </w:tr>
      <w:tr w:rsidR="001A3C92" w:rsidRPr="00E44220" w:rsidTr="00A5379B">
        <w:trPr>
          <w:trHeight w:val="637"/>
        </w:trPr>
        <w:tc>
          <w:tcPr>
            <w:tcW w:w="10485" w:type="dxa"/>
            <w:gridSpan w:val="2"/>
          </w:tcPr>
          <w:p w:rsidR="001A3C92" w:rsidRPr="001A3C92" w:rsidRDefault="001A3C92" w:rsidP="001A3C92">
            <w:pPr>
              <w:rPr>
                <w:rFonts w:ascii="Tahoma" w:hAnsi="Tahoma" w:cs="Tahoma"/>
                <w:sz w:val="22"/>
                <w:szCs w:val="22"/>
              </w:rPr>
            </w:pPr>
            <w:r>
              <w:rPr>
                <w:rFonts w:ascii="Tahoma" w:hAnsi="Tahoma" w:cs="Tahoma"/>
                <w:b/>
              </w:rPr>
              <w:t xml:space="preserve">Is medicine:        </w:t>
            </w:r>
            <w:r>
              <w:rPr>
                <w:rFonts w:ascii="Tahoma" w:hAnsi="Tahoma" w:cs="Tahoma"/>
                <w:sz w:val="22"/>
                <w:szCs w:val="22"/>
              </w:rPr>
              <w:t xml:space="preserve">Newly prescribed   </w:t>
            </w:r>
            <w:r w:rsidRPr="001A3C92">
              <w:rPr>
                <w:sz w:val="44"/>
                <w:szCs w:val="22"/>
              </w:rPr>
              <w:t>□</w:t>
            </w:r>
            <w:r w:rsidRPr="001A3C92">
              <w:rPr>
                <w:rFonts w:ascii="Tahoma" w:hAnsi="Tahoma" w:cs="Tahoma"/>
                <w:sz w:val="32"/>
                <w:szCs w:val="22"/>
              </w:rPr>
              <w:t xml:space="preserve"> </w:t>
            </w:r>
            <w:r>
              <w:rPr>
                <w:rFonts w:ascii="Tahoma" w:hAnsi="Tahoma" w:cs="Tahoma"/>
                <w:sz w:val="22"/>
                <w:szCs w:val="22"/>
              </w:rPr>
              <w:t xml:space="preserve">            </w:t>
            </w:r>
            <w:r w:rsidRPr="00EC09FB">
              <w:rPr>
                <w:rFonts w:ascii="Tahoma" w:hAnsi="Tahoma" w:cs="Tahoma"/>
                <w:sz w:val="22"/>
                <w:szCs w:val="22"/>
              </w:rPr>
              <w:t xml:space="preserve">Continuation of a previous prescription  </w:t>
            </w:r>
            <w:r w:rsidRPr="001A3C92">
              <w:rPr>
                <w:sz w:val="44"/>
                <w:szCs w:val="22"/>
              </w:rPr>
              <w:t>□</w:t>
            </w:r>
          </w:p>
        </w:tc>
      </w:tr>
      <w:tr w:rsidR="004C0B3F" w:rsidRPr="00E44220" w:rsidTr="004C0B3F">
        <w:tc>
          <w:tcPr>
            <w:tcW w:w="6374" w:type="dxa"/>
          </w:tcPr>
          <w:p w:rsidR="004C0B3F" w:rsidRPr="00E44220" w:rsidRDefault="004C0B3F" w:rsidP="00A45DA6">
            <w:pPr>
              <w:rPr>
                <w:rFonts w:ascii="Tahoma" w:hAnsi="Tahoma" w:cs="Tahoma"/>
                <w:b/>
              </w:rPr>
            </w:pPr>
            <w:r w:rsidRPr="00E44220">
              <w:rPr>
                <w:rFonts w:ascii="Tahoma" w:hAnsi="Tahoma" w:cs="Tahoma"/>
                <w:b/>
              </w:rPr>
              <w:t>Indications for use:</w:t>
            </w:r>
          </w:p>
          <w:p w:rsidR="004C0B3F" w:rsidRPr="00E44220" w:rsidRDefault="004C0B3F" w:rsidP="00A45DA6">
            <w:pPr>
              <w:rPr>
                <w:rFonts w:ascii="Tahoma" w:hAnsi="Tahoma" w:cs="Tahoma"/>
                <w:b/>
              </w:rPr>
            </w:pPr>
          </w:p>
        </w:tc>
        <w:tc>
          <w:tcPr>
            <w:tcW w:w="4111" w:type="dxa"/>
          </w:tcPr>
          <w:p w:rsidR="004C0B3F" w:rsidRPr="00E44220" w:rsidRDefault="00E57C49" w:rsidP="004C0B3F">
            <w:pPr>
              <w:rPr>
                <w:rFonts w:ascii="Tahoma" w:hAnsi="Tahoma" w:cs="Tahoma"/>
                <w:b/>
              </w:rPr>
            </w:pPr>
            <w:r>
              <w:rPr>
                <w:rFonts w:ascii="Tahoma" w:hAnsi="Tahoma" w:cs="Tahoma"/>
                <w:b/>
              </w:rPr>
              <w:t>Intended d</w:t>
            </w:r>
            <w:r w:rsidR="004C0B3F" w:rsidRPr="00E44220">
              <w:rPr>
                <w:rFonts w:ascii="Tahoma" w:hAnsi="Tahoma" w:cs="Tahoma"/>
                <w:b/>
              </w:rPr>
              <w:t>uration:</w:t>
            </w:r>
          </w:p>
          <w:p w:rsidR="004C0B3F" w:rsidRDefault="004C0B3F">
            <w:pPr>
              <w:rPr>
                <w:rFonts w:ascii="Tahoma" w:hAnsi="Tahoma" w:cs="Tahoma"/>
                <w:b/>
              </w:rPr>
            </w:pPr>
          </w:p>
          <w:p w:rsidR="004C0B3F" w:rsidRPr="00E44220" w:rsidRDefault="004C0B3F" w:rsidP="00A45DA6">
            <w:pPr>
              <w:rPr>
                <w:rFonts w:ascii="Tahoma" w:hAnsi="Tahoma" w:cs="Tahoma"/>
                <w:b/>
              </w:rPr>
            </w:pPr>
          </w:p>
        </w:tc>
      </w:tr>
      <w:tr w:rsidR="003D06C0" w:rsidRPr="00E44220" w:rsidTr="009F294F">
        <w:tc>
          <w:tcPr>
            <w:tcW w:w="10485" w:type="dxa"/>
            <w:gridSpan w:val="2"/>
          </w:tcPr>
          <w:p w:rsidR="003D06C0" w:rsidRPr="00E44220" w:rsidRDefault="004C0B3F" w:rsidP="00A45DA6">
            <w:pPr>
              <w:rPr>
                <w:rFonts w:ascii="Tahoma" w:hAnsi="Tahoma" w:cs="Tahoma"/>
                <w:b/>
              </w:rPr>
            </w:pPr>
            <w:r w:rsidRPr="00E44220">
              <w:rPr>
                <w:rFonts w:ascii="Tahoma" w:hAnsi="Tahoma" w:cs="Tahoma"/>
                <w:b/>
              </w:rPr>
              <w:t>Reason</w:t>
            </w:r>
            <w:smartTag w:uri="urn:schemas-microsoft-com:office:smarttags" w:element="PersonName">
              <w:r w:rsidRPr="00E44220">
                <w:rPr>
                  <w:rFonts w:ascii="Tahoma" w:hAnsi="Tahoma" w:cs="Tahoma"/>
                  <w:b/>
                </w:rPr>
                <w:t xml:space="preserve"> </w:t>
              </w:r>
            </w:smartTag>
            <w:r w:rsidRPr="00E44220">
              <w:rPr>
                <w:rFonts w:ascii="Tahoma" w:hAnsi="Tahoma" w:cs="Tahoma"/>
                <w:b/>
              </w:rPr>
              <w:t>for</w:t>
            </w:r>
            <w:smartTag w:uri="urn:schemas-microsoft-com:office:smarttags" w:element="PersonName">
              <w:r w:rsidRPr="00E44220">
                <w:rPr>
                  <w:rFonts w:ascii="Tahoma" w:hAnsi="Tahoma" w:cs="Tahoma"/>
                  <w:b/>
                </w:rPr>
                <w:t xml:space="preserve"> </w:t>
              </w:r>
            </w:smartTag>
            <w:r w:rsidRPr="00E44220">
              <w:rPr>
                <w:rFonts w:ascii="Tahoma" w:hAnsi="Tahoma" w:cs="Tahoma"/>
                <w:b/>
              </w:rPr>
              <w:t>request</w:t>
            </w:r>
            <w:r>
              <w:rPr>
                <w:rFonts w:ascii="Tahoma" w:hAnsi="Tahoma" w:cs="Tahoma"/>
                <w:b/>
              </w:rPr>
              <w:t xml:space="preserve"> i.e. why choose this product over a formulary alternative?</w:t>
            </w:r>
            <w:r w:rsidRPr="00E44220">
              <w:rPr>
                <w:rFonts w:ascii="Tahoma" w:hAnsi="Tahoma" w:cs="Tahoma"/>
              </w:rPr>
              <w:t xml:space="preserve"> </w:t>
            </w:r>
            <w:r w:rsidR="007B5D5B" w:rsidRPr="007B5D5B">
              <w:rPr>
                <w:rFonts w:ascii="Tahoma" w:hAnsi="Tahoma" w:cs="Tahoma"/>
                <w:b/>
              </w:rPr>
              <w:t>Pl</w:t>
            </w:r>
            <w:r w:rsidR="007B5D5B">
              <w:rPr>
                <w:rFonts w:ascii="Tahoma" w:hAnsi="Tahoma" w:cs="Tahoma"/>
                <w:b/>
              </w:rPr>
              <w:t>ease reference evidence to support its use (e.g. BNF advice, specialist guidelines, literature)</w:t>
            </w:r>
          </w:p>
          <w:p w:rsidR="003D06C0" w:rsidRDefault="003D06C0" w:rsidP="00A45DA6">
            <w:pPr>
              <w:rPr>
                <w:rFonts w:ascii="Tahoma" w:hAnsi="Tahoma" w:cs="Tahoma"/>
                <w:b/>
              </w:rPr>
            </w:pPr>
          </w:p>
          <w:p w:rsidR="007B5D5B" w:rsidRDefault="007B5D5B" w:rsidP="00A45DA6">
            <w:pPr>
              <w:rPr>
                <w:rFonts w:ascii="Tahoma" w:hAnsi="Tahoma" w:cs="Tahoma"/>
                <w:b/>
              </w:rPr>
            </w:pPr>
          </w:p>
          <w:p w:rsidR="007B5D5B" w:rsidRDefault="007B5D5B" w:rsidP="00A45DA6">
            <w:pPr>
              <w:rPr>
                <w:rFonts w:ascii="Tahoma" w:hAnsi="Tahoma" w:cs="Tahoma"/>
                <w:b/>
              </w:rPr>
            </w:pPr>
          </w:p>
          <w:p w:rsidR="007B5D5B" w:rsidRPr="00E44220" w:rsidRDefault="007B5D5B" w:rsidP="00A45DA6">
            <w:pPr>
              <w:rPr>
                <w:rFonts w:ascii="Tahoma" w:hAnsi="Tahoma" w:cs="Tahoma"/>
                <w:b/>
              </w:rPr>
            </w:pPr>
          </w:p>
        </w:tc>
      </w:tr>
      <w:tr w:rsidR="003D06C0" w:rsidRPr="00E44220" w:rsidTr="00E56357">
        <w:trPr>
          <w:trHeight w:val="565"/>
        </w:trPr>
        <w:tc>
          <w:tcPr>
            <w:tcW w:w="10485" w:type="dxa"/>
            <w:gridSpan w:val="2"/>
          </w:tcPr>
          <w:p w:rsidR="004C0B3F" w:rsidRPr="00E56357" w:rsidRDefault="004C0B3F" w:rsidP="00A45DA6">
            <w:pPr>
              <w:rPr>
                <w:rFonts w:ascii="Tahoma" w:hAnsi="Tahoma" w:cs="Tahoma"/>
                <w:b/>
                <w:color w:val="FF0000"/>
                <w:sz w:val="20"/>
                <w:szCs w:val="20"/>
              </w:rPr>
            </w:pPr>
            <w:r w:rsidRPr="00421344">
              <w:rPr>
                <w:rFonts w:ascii="Tahoma" w:hAnsi="Tahoma" w:cs="Tahoma"/>
                <w:b/>
                <w:sz w:val="20"/>
                <w:szCs w:val="20"/>
              </w:rPr>
              <w:t xml:space="preserve">For unlicensed </w:t>
            </w:r>
            <w:r w:rsidR="007B5D5B" w:rsidRPr="00421344">
              <w:rPr>
                <w:rFonts w:ascii="Tahoma" w:hAnsi="Tahoma" w:cs="Tahoma"/>
                <w:b/>
                <w:sz w:val="20"/>
                <w:szCs w:val="20"/>
              </w:rPr>
              <w:t>medicines or off-label use of licensed medicine</w:t>
            </w:r>
            <w:r w:rsidR="00421344" w:rsidRPr="00421344">
              <w:rPr>
                <w:rFonts w:ascii="Tahoma" w:hAnsi="Tahoma" w:cs="Tahoma"/>
                <w:b/>
                <w:sz w:val="20"/>
                <w:szCs w:val="20"/>
              </w:rPr>
              <w:t>s*, contact Pharmacy Logistics</w:t>
            </w:r>
            <w:r w:rsidR="007B5D5B" w:rsidRPr="00421344">
              <w:rPr>
                <w:rFonts w:ascii="Tahoma" w:hAnsi="Tahoma" w:cs="Tahoma"/>
                <w:b/>
                <w:sz w:val="20"/>
                <w:szCs w:val="20"/>
              </w:rPr>
              <w:t xml:space="preserve"> for the appropriate request form.</w:t>
            </w:r>
            <w:r w:rsidRPr="00421344">
              <w:rPr>
                <w:rFonts w:ascii="Tahoma" w:hAnsi="Tahoma" w:cs="Tahoma"/>
                <w:b/>
                <w:sz w:val="20"/>
                <w:szCs w:val="20"/>
              </w:rPr>
              <w:t xml:space="preserve"> </w:t>
            </w:r>
          </w:p>
        </w:tc>
      </w:tr>
    </w:tbl>
    <w:p w:rsidR="003D06C0" w:rsidRPr="00D46FF6" w:rsidRDefault="00582DB6" w:rsidP="008220DA">
      <w:pPr>
        <w:rPr>
          <w:rFonts w:ascii="Tahoma" w:hAnsi="Tahoma" w:cs="Tahoma"/>
          <w:sz w:val="16"/>
          <w:szCs w:val="16"/>
        </w:rPr>
      </w:pPr>
      <w:r w:rsidRPr="00582DB6">
        <w:rPr>
          <w:rFonts w:ascii="Tahoma" w:hAnsi="Tahoma" w:cs="Tahoma"/>
          <w:sz w:val="16"/>
          <w:szCs w:val="16"/>
        </w:rPr>
        <w:t xml:space="preserve">* Refer </w:t>
      </w:r>
      <w:r w:rsidRPr="00D46FF6">
        <w:rPr>
          <w:rFonts w:ascii="Tahoma" w:hAnsi="Tahoma" w:cs="Tahoma"/>
          <w:sz w:val="16"/>
          <w:szCs w:val="16"/>
        </w:rPr>
        <w:t xml:space="preserve">to </w:t>
      </w:r>
      <w:r w:rsidR="005012B7" w:rsidRPr="00D46FF6">
        <w:rPr>
          <w:rFonts w:ascii="Tahoma" w:hAnsi="Tahoma" w:cs="Tahoma"/>
          <w:sz w:val="16"/>
          <w:szCs w:val="16"/>
        </w:rPr>
        <w:t>CTMUHB Policy for the Use of Unlicensed M</w:t>
      </w:r>
      <w:r w:rsidRPr="00D46FF6">
        <w:rPr>
          <w:rFonts w:ascii="Tahoma" w:hAnsi="Tahoma" w:cs="Tahoma"/>
          <w:sz w:val="16"/>
          <w:szCs w:val="16"/>
        </w:rPr>
        <w:t>edicines</w:t>
      </w:r>
      <w:r w:rsidR="005012B7" w:rsidRPr="00D46FF6">
        <w:rPr>
          <w:rFonts w:ascii="Tahoma" w:hAnsi="Tahoma" w:cs="Tahoma"/>
          <w:sz w:val="16"/>
          <w:szCs w:val="16"/>
        </w:rPr>
        <w:t xml:space="preserve"> and Medicines Used Outside their Market Authorisation</w:t>
      </w:r>
      <w:r w:rsidR="006B6E59" w:rsidRPr="00D46FF6">
        <w:rPr>
          <w:rFonts w:ascii="Tahoma" w:hAnsi="Tahoma" w:cs="Tahoma"/>
          <w:sz w:val="16"/>
          <w:szCs w:val="16"/>
        </w:rPr>
        <w:t xml:space="preserve"> and related procedures</w:t>
      </w:r>
      <w:r w:rsidR="005012B7" w:rsidRPr="00D46FF6">
        <w:rPr>
          <w:rFonts w:ascii="Tahoma" w:hAnsi="Tahoma" w:cs="Tahoma"/>
          <w:sz w:val="16"/>
          <w:szCs w:val="16"/>
        </w:rPr>
        <w:t xml:space="preserve"> </w:t>
      </w:r>
      <w:r w:rsidRPr="00D46FF6">
        <w:rPr>
          <w:rFonts w:ascii="Tahoma" w:hAnsi="Tahoma" w:cs="Tahoma"/>
          <w:sz w:val="16"/>
          <w:szCs w:val="16"/>
        </w:rPr>
        <w:t>for further details</w:t>
      </w:r>
    </w:p>
    <w:p w:rsidR="003D06C0" w:rsidRPr="00D46FF6" w:rsidRDefault="00EC09FB" w:rsidP="008220DA">
      <w:pPr>
        <w:rPr>
          <w:rFonts w:ascii="Tahoma" w:hAnsi="Tahoma" w:cs="Tahoma"/>
          <w:sz w:val="22"/>
          <w:szCs w:val="22"/>
        </w:rPr>
      </w:pPr>
      <w:r w:rsidRPr="00D46FF6">
        <w:rPr>
          <w:rFonts w:ascii="Tahoma" w:hAnsi="Tahoma" w:cs="Tahoma"/>
          <w:noProof/>
          <w:lang w:eastAsia="en-GB"/>
        </w:rPr>
        <mc:AlternateContent>
          <mc:Choice Requires="wps">
            <w:drawing>
              <wp:anchor distT="0" distB="0" distL="114300" distR="114300" simplePos="0" relativeHeight="251658240" behindDoc="0" locked="0" layoutInCell="1" allowOverlap="1" wp14:anchorId="5F8C2676" wp14:editId="05CE695E">
                <wp:simplePos x="0" y="0"/>
                <wp:positionH relativeFrom="column">
                  <wp:posOffset>19050</wp:posOffset>
                </wp:positionH>
                <wp:positionV relativeFrom="paragraph">
                  <wp:posOffset>114300</wp:posOffset>
                </wp:positionV>
                <wp:extent cx="3000375" cy="1409700"/>
                <wp:effectExtent l="0" t="0" r="2857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9700"/>
                        </a:xfrm>
                        <a:prstGeom prst="rect">
                          <a:avLst/>
                        </a:prstGeom>
                        <a:solidFill>
                          <a:srgbClr val="FFFFFF"/>
                        </a:solidFill>
                        <a:ln w="9525">
                          <a:solidFill>
                            <a:srgbClr val="000000"/>
                          </a:solidFill>
                          <a:miter lim="800000"/>
                          <a:headEnd/>
                          <a:tailEnd/>
                        </a:ln>
                      </wps:spPr>
                      <wps:txbx>
                        <w:txbxContent>
                          <w:p w:rsidR="003D06C0" w:rsidRPr="002F0B71" w:rsidRDefault="002F0B71" w:rsidP="003D06C0">
                            <w:pPr>
                              <w:rPr>
                                <w:rFonts w:ascii="Tahoma" w:hAnsi="Tahoma" w:cs="Tahoma"/>
                                <w:b/>
                              </w:rPr>
                            </w:pPr>
                            <w:r w:rsidRPr="002F0B71">
                              <w:rPr>
                                <w:rFonts w:ascii="Tahoma" w:hAnsi="Tahoma" w:cs="Tahoma"/>
                                <w:b/>
                              </w:rPr>
                              <w:t>Patient Details (or Addressograph)</w:t>
                            </w:r>
                          </w:p>
                          <w:p w:rsidR="00EC09FB" w:rsidRDefault="00EC09FB" w:rsidP="003D06C0">
                            <w:pPr>
                              <w:rPr>
                                <w:rFonts w:ascii="Tahoma" w:hAnsi="Tahoma" w:cs="Tahoma"/>
                                <w:sz w:val="20"/>
                                <w:szCs w:val="20"/>
                              </w:rPr>
                            </w:pPr>
                          </w:p>
                          <w:p w:rsidR="003D06C0" w:rsidRDefault="003D06C0" w:rsidP="003D06C0">
                            <w:pPr>
                              <w:rPr>
                                <w:rFonts w:ascii="Tahoma" w:hAnsi="Tahoma" w:cs="Tahoma"/>
                                <w:sz w:val="20"/>
                                <w:szCs w:val="20"/>
                              </w:rPr>
                            </w:pPr>
                            <w:r>
                              <w:rPr>
                                <w:rFonts w:ascii="Tahoma" w:hAnsi="Tahoma" w:cs="Tahoma"/>
                                <w:sz w:val="20"/>
                                <w:szCs w:val="20"/>
                              </w:rPr>
                              <w:t>Name:</w:t>
                            </w:r>
                            <w:r w:rsidR="006B6E59">
                              <w:rPr>
                                <w:rFonts w:ascii="Tahoma" w:hAnsi="Tahoma" w:cs="Tahoma"/>
                                <w:sz w:val="20"/>
                                <w:szCs w:val="20"/>
                              </w:rPr>
                              <w:t xml:space="preserve"> </w:t>
                            </w:r>
                            <w:r w:rsidRPr="00A04A1B">
                              <w:rPr>
                                <w:rFonts w:ascii="Tahoma" w:hAnsi="Tahoma" w:cs="Tahoma"/>
                                <w:color w:val="808080"/>
                                <w:sz w:val="20"/>
                                <w:szCs w:val="20"/>
                              </w:rPr>
                              <w:t>……………………………………………………</w:t>
                            </w:r>
                            <w:r>
                              <w:rPr>
                                <w:rFonts w:ascii="Tahoma" w:hAnsi="Tahoma" w:cs="Tahoma"/>
                                <w:color w:val="808080"/>
                                <w:sz w:val="20"/>
                                <w:szCs w:val="20"/>
                              </w:rPr>
                              <w:t>…</w:t>
                            </w:r>
                            <w:r w:rsidR="006B6E59">
                              <w:rPr>
                                <w:rFonts w:ascii="Tahoma" w:hAnsi="Tahoma" w:cs="Tahoma"/>
                                <w:color w:val="808080"/>
                                <w:sz w:val="20"/>
                                <w:szCs w:val="20"/>
                              </w:rPr>
                              <w:t>…..</w:t>
                            </w:r>
                          </w:p>
                          <w:p w:rsidR="003D06C0" w:rsidRDefault="003D06C0" w:rsidP="003D06C0">
                            <w:pPr>
                              <w:rPr>
                                <w:rFonts w:ascii="Tahoma" w:hAnsi="Tahoma" w:cs="Tahoma"/>
                                <w:sz w:val="20"/>
                                <w:szCs w:val="20"/>
                              </w:rPr>
                            </w:pPr>
                          </w:p>
                          <w:p w:rsidR="003D06C0" w:rsidRDefault="003D06C0" w:rsidP="003D06C0">
                            <w:pPr>
                              <w:rPr>
                                <w:rFonts w:ascii="Tahoma" w:hAnsi="Tahoma" w:cs="Tahoma"/>
                                <w:sz w:val="20"/>
                                <w:szCs w:val="20"/>
                              </w:rPr>
                            </w:pPr>
                            <w:r>
                              <w:rPr>
                                <w:rFonts w:ascii="Tahoma" w:hAnsi="Tahoma" w:cs="Tahoma"/>
                                <w:sz w:val="20"/>
                                <w:szCs w:val="20"/>
                              </w:rPr>
                              <w:t>Address:</w:t>
                            </w:r>
                            <w:r w:rsidR="006B6E59">
                              <w:rPr>
                                <w:rFonts w:ascii="Tahoma" w:hAnsi="Tahoma" w:cs="Tahoma"/>
                                <w:sz w:val="20"/>
                                <w:szCs w:val="20"/>
                              </w:rPr>
                              <w:t xml:space="preserve"> </w:t>
                            </w:r>
                            <w:r w:rsidRPr="00A04A1B">
                              <w:rPr>
                                <w:rFonts w:ascii="Tahoma" w:hAnsi="Tahoma" w:cs="Tahoma"/>
                                <w:color w:val="808080"/>
                                <w:sz w:val="20"/>
                                <w:szCs w:val="20"/>
                              </w:rPr>
                              <w:t>………………………………………</w:t>
                            </w:r>
                            <w:r w:rsidR="004C0B3F">
                              <w:rPr>
                                <w:rFonts w:ascii="Tahoma" w:hAnsi="Tahoma" w:cs="Tahoma"/>
                                <w:color w:val="808080"/>
                                <w:sz w:val="20"/>
                                <w:szCs w:val="20"/>
                              </w:rPr>
                              <w:t>………</w:t>
                            </w:r>
                            <w:r w:rsidR="006B6E59">
                              <w:rPr>
                                <w:rFonts w:ascii="Tahoma" w:hAnsi="Tahoma" w:cs="Tahoma"/>
                                <w:color w:val="808080"/>
                                <w:sz w:val="20"/>
                                <w:szCs w:val="20"/>
                              </w:rPr>
                              <w:t>……….</w:t>
                            </w:r>
                          </w:p>
                          <w:p w:rsidR="003D06C0" w:rsidRPr="00A04A1B" w:rsidRDefault="003D06C0" w:rsidP="003D06C0">
                            <w:pPr>
                              <w:rPr>
                                <w:rFonts w:ascii="Tahoma" w:hAnsi="Tahoma" w:cs="Tahoma"/>
                                <w:color w:val="808080"/>
                                <w:sz w:val="20"/>
                                <w:szCs w:val="20"/>
                              </w:rPr>
                            </w:pPr>
                          </w:p>
                          <w:p w:rsidR="003D06C0" w:rsidRDefault="003D06C0" w:rsidP="003D06C0">
                            <w:pPr>
                              <w:rPr>
                                <w:rFonts w:ascii="Tahoma" w:hAnsi="Tahoma" w:cs="Tahoma"/>
                                <w:sz w:val="20"/>
                                <w:szCs w:val="20"/>
                              </w:rPr>
                            </w:pPr>
                          </w:p>
                          <w:p w:rsidR="003D06C0" w:rsidRPr="00A04A1B" w:rsidRDefault="003D06C0" w:rsidP="003D06C0">
                            <w:pPr>
                              <w:rPr>
                                <w:rFonts w:ascii="Tahoma" w:hAnsi="Tahoma" w:cs="Tahoma"/>
                                <w:color w:val="808080"/>
                                <w:sz w:val="20"/>
                                <w:szCs w:val="20"/>
                              </w:rPr>
                            </w:pPr>
                            <w:r>
                              <w:rPr>
                                <w:rFonts w:ascii="Tahoma" w:hAnsi="Tahoma" w:cs="Tahoma"/>
                                <w:sz w:val="20"/>
                                <w:szCs w:val="20"/>
                              </w:rPr>
                              <w:t>Hospital no</w:t>
                            </w:r>
                            <w:r w:rsidRPr="00A04A1B">
                              <w:rPr>
                                <w:rFonts w:ascii="Tahoma" w:hAnsi="Tahoma" w:cs="Tahoma"/>
                                <w:color w:val="808080"/>
                                <w:sz w:val="20"/>
                                <w:szCs w:val="20"/>
                              </w:rPr>
                              <w:t xml:space="preserve">.  </w:t>
                            </w:r>
                            <w:r w:rsidR="004C0B3F">
                              <w:rPr>
                                <w:rFonts w:ascii="Tahoma" w:hAnsi="Tahoma" w:cs="Tahoma"/>
                                <w:color w:val="808080"/>
                                <w:sz w:val="20"/>
                                <w:szCs w:val="20"/>
                              </w:rPr>
                              <w:t>…………………</w:t>
                            </w:r>
                            <w:r w:rsidR="006B6E59">
                              <w:rPr>
                                <w:rFonts w:ascii="Tahoma" w:hAnsi="Tahoma" w:cs="Tahoma"/>
                                <w:color w:val="808080"/>
                                <w:sz w:val="20"/>
                                <w:szCs w:val="20"/>
                              </w:rPr>
                              <w:t>……</w:t>
                            </w:r>
                            <w:r w:rsidR="004C0B3F">
                              <w:rPr>
                                <w:rFonts w:ascii="Tahoma" w:hAnsi="Tahoma" w:cs="Tahoma"/>
                                <w:color w:val="808080"/>
                                <w:sz w:val="20"/>
                                <w:szCs w:val="20"/>
                              </w:rPr>
                              <w:t xml:space="preserve"> DOB ……………….</w:t>
                            </w:r>
                            <w:r w:rsidR="006B6E59">
                              <w:rPr>
                                <w:rFonts w:ascii="Tahoma" w:hAnsi="Tahoma" w:cs="Tahoma"/>
                                <w:color w:val="808080"/>
                                <w:sz w:val="20"/>
                                <w:szCs w:val="20"/>
                              </w:rPr>
                              <w:t>.</w:t>
                            </w:r>
                            <w:r w:rsidR="004C0B3F">
                              <w:rPr>
                                <w:rFonts w:ascii="Tahoma" w:hAnsi="Tahoma" w:cs="Tahoma"/>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C2676" id="Text Box 3" o:spid="_x0000_s1027" type="#_x0000_t202" style="position:absolute;margin-left:1.5pt;margin-top:9pt;width:236.2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">
                <v:textbox>
                  <w:txbxContent>
                    <w:p w:rsidR="003D06C0" w:rsidRPr="002F0B71" w:rsidRDefault="002F0B71" w:rsidP="003D06C0">
                      <w:pPr>
                        <w:rPr>
                          <w:rFonts w:ascii="Tahoma" w:hAnsi="Tahoma" w:cs="Tahoma"/>
                          <w:b/>
                        </w:rPr>
                      </w:pPr>
                      <w:r w:rsidRPr="002F0B71">
                        <w:rPr>
                          <w:rFonts w:ascii="Tahoma" w:hAnsi="Tahoma" w:cs="Tahoma"/>
                          <w:b/>
                        </w:rPr>
                        <w:t>Patient Details (or Addressograph)</w:t>
                      </w:r>
                    </w:p>
                    <w:p w:rsidR="00EC09FB" w:rsidRDefault="00EC09FB" w:rsidP="003D06C0">
                      <w:pPr>
                        <w:rPr>
                          <w:rFonts w:ascii="Tahoma" w:hAnsi="Tahoma" w:cs="Tahoma"/>
                          <w:sz w:val="20"/>
                          <w:szCs w:val="20"/>
                        </w:rPr>
                      </w:pPr>
                    </w:p>
                    <w:p w:rsidR="003D06C0" w:rsidRDefault="003D06C0" w:rsidP="003D06C0">
                      <w:pPr>
                        <w:rPr>
                          <w:rFonts w:ascii="Tahoma" w:hAnsi="Tahoma" w:cs="Tahoma"/>
                          <w:sz w:val="20"/>
                          <w:szCs w:val="20"/>
                        </w:rPr>
                      </w:pPr>
                      <w:r>
                        <w:rPr>
                          <w:rFonts w:ascii="Tahoma" w:hAnsi="Tahoma" w:cs="Tahoma"/>
                          <w:sz w:val="20"/>
                          <w:szCs w:val="20"/>
                        </w:rPr>
                        <w:t>Name:</w:t>
                      </w:r>
                      <w:r w:rsidR="006B6E59">
                        <w:rPr>
                          <w:rFonts w:ascii="Tahoma" w:hAnsi="Tahoma" w:cs="Tahoma"/>
                          <w:sz w:val="20"/>
                          <w:szCs w:val="20"/>
                        </w:rPr>
                        <w:t xml:space="preserve"> </w:t>
                      </w:r>
                      <w:r w:rsidRPr="00A04A1B">
                        <w:rPr>
                          <w:rFonts w:ascii="Tahoma" w:hAnsi="Tahoma" w:cs="Tahoma"/>
                          <w:color w:val="808080"/>
                          <w:sz w:val="20"/>
                          <w:szCs w:val="20"/>
                        </w:rPr>
                        <w:t>……………………………………………………</w:t>
                      </w:r>
                      <w:r>
                        <w:rPr>
                          <w:rFonts w:ascii="Tahoma" w:hAnsi="Tahoma" w:cs="Tahoma"/>
                          <w:color w:val="808080"/>
                          <w:sz w:val="20"/>
                          <w:szCs w:val="20"/>
                        </w:rPr>
                        <w:t>…</w:t>
                      </w:r>
                      <w:r w:rsidR="006B6E59">
                        <w:rPr>
                          <w:rFonts w:ascii="Tahoma" w:hAnsi="Tahoma" w:cs="Tahoma"/>
                          <w:color w:val="808080"/>
                          <w:sz w:val="20"/>
                          <w:szCs w:val="20"/>
                        </w:rPr>
                        <w:t>…..</w:t>
                      </w:r>
                    </w:p>
                    <w:p w:rsidR="003D06C0" w:rsidRDefault="003D06C0" w:rsidP="003D06C0">
                      <w:pPr>
                        <w:rPr>
                          <w:rFonts w:ascii="Tahoma" w:hAnsi="Tahoma" w:cs="Tahoma"/>
                          <w:sz w:val="20"/>
                          <w:szCs w:val="20"/>
                        </w:rPr>
                      </w:pPr>
                    </w:p>
                    <w:p w:rsidR="003D06C0" w:rsidRDefault="003D06C0" w:rsidP="003D06C0">
                      <w:pPr>
                        <w:rPr>
                          <w:rFonts w:ascii="Tahoma" w:hAnsi="Tahoma" w:cs="Tahoma"/>
                          <w:sz w:val="20"/>
                          <w:szCs w:val="20"/>
                        </w:rPr>
                      </w:pPr>
                      <w:r>
                        <w:rPr>
                          <w:rFonts w:ascii="Tahoma" w:hAnsi="Tahoma" w:cs="Tahoma"/>
                          <w:sz w:val="20"/>
                          <w:szCs w:val="20"/>
                        </w:rPr>
                        <w:t>Address:</w:t>
                      </w:r>
                      <w:r w:rsidR="006B6E59">
                        <w:rPr>
                          <w:rFonts w:ascii="Tahoma" w:hAnsi="Tahoma" w:cs="Tahoma"/>
                          <w:sz w:val="20"/>
                          <w:szCs w:val="20"/>
                        </w:rPr>
                        <w:t xml:space="preserve"> </w:t>
                      </w:r>
                      <w:r w:rsidRPr="00A04A1B">
                        <w:rPr>
                          <w:rFonts w:ascii="Tahoma" w:hAnsi="Tahoma" w:cs="Tahoma"/>
                          <w:color w:val="808080"/>
                          <w:sz w:val="20"/>
                          <w:szCs w:val="20"/>
                        </w:rPr>
                        <w:t>………………………………………</w:t>
                      </w:r>
                      <w:r w:rsidR="004C0B3F">
                        <w:rPr>
                          <w:rFonts w:ascii="Tahoma" w:hAnsi="Tahoma" w:cs="Tahoma"/>
                          <w:color w:val="808080"/>
                          <w:sz w:val="20"/>
                          <w:szCs w:val="20"/>
                        </w:rPr>
                        <w:t>………</w:t>
                      </w:r>
                      <w:r w:rsidR="006B6E59">
                        <w:rPr>
                          <w:rFonts w:ascii="Tahoma" w:hAnsi="Tahoma" w:cs="Tahoma"/>
                          <w:color w:val="808080"/>
                          <w:sz w:val="20"/>
                          <w:szCs w:val="20"/>
                        </w:rPr>
                        <w:t>……….</w:t>
                      </w:r>
                    </w:p>
                    <w:p w:rsidR="003D06C0" w:rsidRPr="00A04A1B" w:rsidRDefault="003D06C0" w:rsidP="003D06C0">
                      <w:pPr>
                        <w:rPr>
                          <w:rFonts w:ascii="Tahoma" w:hAnsi="Tahoma" w:cs="Tahoma"/>
                          <w:color w:val="808080"/>
                          <w:sz w:val="20"/>
                          <w:szCs w:val="20"/>
                        </w:rPr>
                      </w:pPr>
                    </w:p>
                    <w:p w:rsidR="003D06C0" w:rsidRDefault="003D06C0" w:rsidP="003D06C0">
                      <w:pPr>
                        <w:rPr>
                          <w:rFonts w:ascii="Tahoma" w:hAnsi="Tahoma" w:cs="Tahoma"/>
                          <w:sz w:val="20"/>
                          <w:szCs w:val="20"/>
                        </w:rPr>
                      </w:pPr>
                    </w:p>
                    <w:p w:rsidR="003D06C0" w:rsidRPr="00A04A1B" w:rsidRDefault="003D06C0" w:rsidP="003D06C0">
                      <w:pPr>
                        <w:rPr>
                          <w:rFonts w:ascii="Tahoma" w:hAnsi="Tahoma" w:cs="Tahoma"/>
                          <w:color w:val="808080"/>
                          <w:sz w:val="20"/>
                          <w:szCs w:val="20"/>
                        </w:rPr>
                      </w:pPr>
                      <w:r>
                        <w:rPr>
                          <w:rFonts w:ascii="Tahoma" w:hAnsi="Tahoma" w:cs="Tahoma"/>
                          <w:sz w:val="20"/>
                          <w:szCs w:val="20"/>
                        </w:rPr>
                        <w:t>Hospital no</w:t>
                      </w:r>
                      <w:r w:rsidRPr="00A04A1B">
                        <w:rPr>
                          <w:rFonts w:ascii="Tahoma" w:hAnsi="Tahoma" w:cs="Tahoma"/>
                          <w:color w:val="808080"/>
                          <w:sz w:val="20"/>
                          <w:szCs w:val="20"/>
                        </w:rPr>
                        <w:t xml:space="preserve">.  </w:t>
                      </w:r>
                      <w:r w:rsidR="004C0B3F">
                        <w:rPr>
                          <w:rFonts w:ascii="Tahoma" w:hAnsi="Tahoma" w:cs="Tahoma"/>
                          <w:color w:val="808080"/>
                          <w:sz w:val="20"/>
                          <w:szCs w:val="20"/>
                        </w:rPr>
                        <w:t>…………………</w:t>
                      </w:r>
                      <w:r w:rsidR="006B6E59">
                        <w:rPr>
                          <w:rFonts w:ascii="Tahoma" w:hAnsi="Tahoma" w:cs="Tahoma"/>
                          <w:color w:val="808080"/>
                          <w:sz w:val="20"/>
                          <w:szCs w:val="20"/>
                        </w:rPr>
                        <w:t>……</w:t>
                      </w:r>
                      <w:r w:rsidR="004C0B3F">
                        <w:rPr>
                          <w:rFonts w:ascii="Tahoma" w:hAnsi="Tahoma" w:cs="Tahoma"/>
                          <w:color w:val="808080"/>
                          <w:sz w:val="20"/>
                          <w:szCs w:val="20"/>
                        </w:rPr>
                        <w:t xml:space="preserve"> DOB ……………….</w:t>
                      </w:r>
                      <w:r w:rsidR="006B6E59">
                        <w:rPr>
                          <w:rFonts w:ascii="Tahoma" w:hAnsi="Tahoma" w:cs="Tahoma"/>
                          <w:color w:val="808080"/>
                          <w:sz w:val="20"/>
                          <w:szCs w:val="20"/>
                        </w:rPr>
                        <w:t>.</w:t>
                      </w:r>
                      <w:r w:rsidR="004C0B3F">
                        <w:rPr>
                          <w:rFonts w:ascii="Tahoma" w:hAnsi="Tahoma" w:cs="Tahoma"/>
                          <w:color w:val="808080"/>
                          <w:sz w:val="20"/>
                          <w:szCs w:val="20"/>
                        </w:rPr>
                        <w:t>.</w:t>
                      </w:r>
                    </w:p>
                  </w:txbxContent>
                </v:textbox>
                <w10:wrap type="square"/>
              </v:shape>
            </w:pict>
          </mc:Fallback>
        </mc:AlternateContent>
      </w:r>
    </w:p>
    <w:p w:rsidR="002F0B71" w:rsidRPr="00D46FF6" w:rsidRDefault="008220DA" w:rsidP="008220DA">
      <w:pPr>
        <w:rPr>
          <w:rFonts w:ascii="Tahoma" w:hAnsi="Tahoma" w:cs="Tahoma"/>
        </w:rPr>
      </w:pPr>
      <w:r w:rsidRPr="00D46FF6">
        <w:rPr>
          <w:rFonts w:ascii="Tahoma" w:hAnsi="Tahoma" w:cs="Tahoma"/>
          <w:b/>
        </w:rPr>
        <w:t>Consultant</w:t>
      </w:r>
      <w:r w:rsidR="006B6E59" w:rsidRPr="00D46FF6">
        <w:rPr>
          <w:rFonts w:ascii="Tahoma" w:hAnsi="Tahoma" w:cs="Tahoma"/>
          <w:b/>
        </w:rPr>
        <w:t xml:space="preserve">: </w:t>
      </w:r>
      <w:r w:rsidRPr="00D46FF6">
        <w:rPr>
          <w:rFonts w:ascii="Tahoma" w:hAnsi="Tahoma" w:cs="Tahoma"/>
        </w:rPr>
        <w:t>……………………………</w:t>
      </w:r>
      <w:r w:rsidR="006B6E59" w:rsidRPr="00D46FF6">
        <w:rPr>
          <w:rFonts w:ascii="Tahoma" w:hAnsi="Tahoma" w:cs="Tahoma"/>
        </w:rPr>
        <w:t>………………………</w:t>
      </w:r>
    </w:p>
    <w:p w:rsidR="002F0B71" w:rsidRPr="00D46FF6" w:rsidRDefault="002F0B71" w:rsidP="008220DA">
      <w:pPr>
        <w:rPr>
          <w:rFonts w:ascii="Tahoma" w:hAnsi="Tahoma" w:cs="Tahoma"/>
        </w:rPr>
      </w:pPr>
    </w:p>
    <w:p w:rsidR="006B6E59" w:rsidRPr="00D46FF6" w:rsidRDefault="006B6E59" w:rsidP="008220DA">
      <w:pPr>
        <w:rPr>
          <w:rFonts w:ascii="Tahoma" w:hAnsi="Tahoma" w:cs="Tahoma"/>
          <w:b/>
        </w:rPr>
      </w:pPr>
    </w:p>
    <w:p w:rsidR="008220DA" w:rsidRPr="00D46FF6" w:rsidRDefault="008220DA" w:rsidP="008220DA">
      <w:pPr>
        <w:rPr>
          <w:rFonts w:ascii="Tahoma" w:hAnsi="Tahoma" w:cs="Tahoma"/>
        </w:rPr>
      </w:pPr>
      <w:r w:rsidRPr="00D46FF6">
        <w:rPr>
          <w:rFonts w:ascii="Tahoma" w:hAnsi="Tahoma" w:cs="Tahoma"/>
          <w:b/>
        </w:rPr>
        <w:t>Ward/clinic</w:t>
      </w:r>
      <w:r w:rsidR="006B6E59" w:rsidRPr="00D46FF6">
        <w:rPr>
          <w:rFonts w:ascii="Tahoma" w:hAnsi="Tahoma" w:cs="Tahoma"/>
        </w:rPr>
        <w:t xml:space="preserve">: </w:t>
      </w:r>
      <w:r w:rsidRPr="00D46FF6">
        <w:rPr>
          <w:rFonts w:ascii="Tahoma" w:hAnsi="Tahoma" w:cs="Tahoma"/>
        </w:rPr>
        <w:t>………………</w:t>
      </w:r>
      <w:r w:rsidR="00EA3BC7" w:rsidRPr="00D46FF6">
        <w:rPr>
          <w:rFonts w:ascii="Tahoma" w:hAnsi="Tahoma" w:cs="Tahoma"/>
        </w:rPr>
        <w:t>…………</w:t>
      </w:r>
      <w:r w:rsidR="006B6E59" w:rsidRPr="00D46FF6">
        <w:rPr>
          <w:rFonts w:ascii="Tahoma" w:hAnsi="Tahoma" w:cs="Tahoma"/>
        </w:rPr>
        <w:t>………………………</w:t>
      </w:r>
      <w:r w:rsidRPr="00D46FF6">
        <w:rPr>
          <w:rFonts w:ascii="Tahoma" w:hAnsi="Tahoma" w:cs="Tahoma"/>
        </w:rPr>
        <w:t xml:space="preserve">  </w:t>
      </w:r>
    </w:p>
    <w:p w:rsidR="008220DA" w:rsidRPr="00D46FF6" w:rsidRDefault="008220DA" w:rsidP="008220DA">
      <w:pPr>
        <w:rPr>
          <w:rFonts w:ascii="Tahoma" w:hAnsi="Tahoma" w:cs="Tahoma"/>
          <w:b/>
          <w:sz w:val="22"/>
          <w:szCs w:val="22"/>
        </w:rPr>
      </w:pPr>
    </w:p>
    <w:p w:rsidR="008220DA" w:rsidRPr="00D46FF6" w:rsidRDefault="008220DA" w:rsidP="008220DA">
      <w:pPr>
        <w:rPr>
          <w:rFonts w:ascii="Tahoma" w:hAnsi="Tahoma" w:cs="Tahoma"/>
          <w:b/>
          <w:sz w:val="22"/>
          <w:szCs w:val="22"/>
        </w:rPr>
      </w:pPr>
    </w:p>
    <w:p w:rsidR="008220DA" w:rsidRPr="00D46FF6" w:rsidRDefault="00EA3BC7" w:rsidP="008220DA">
      <w:pPr>
        <w:rPr>
          <w:rFonts w:ascii="Tahoma" w:hAnsi="Tahoma" w:cs="Tahoma"/>
        </w:rPr>
      </w:pPr>
      <w:r w:rsidRPr="00D46FF6">
        <w:rPr>
          <w:rFonts w:ascii="Tahoma" w:hAnsi="Tahoma" w:cs="Tahoma"/>
          <w:b/>
        </w:rPr>
        <w:t>Hospital:</w:t>
      </w:r>
      <w:r w:rsidRPr="00D46FF6">
        <w:rPr>
          <w:rFonts w:ascii="Tahoma" w:hAnsi="Tahoma" w:cs="Tahoma"/>
        </w:rPr>
        <w:t xml:space="preserve"> ………………………………</w:t>
      </w:r>
      <w:r w:rsidR="006B6E59" w:rsidRPr="00D46FF6">
        <w:rPr>
          <w:rFonts w:ascii="Tahoma" w:hAnsi="Tahoma" w:cs="Tahoma"/>
        </w:rPr>
        <w:t>……………………….</w:t>
      </w:r>
    </w:p>
    <w:p w:rsidR="008220DA" w:rsidRPr="00D46FF6" w:rsidRDefault="008220DA" w:rsidP="008220DA">
      <w:pPr>
        <w:rPr>
          <w:rFonts w:ascii="Tahoma" w:hAnsi="Tahoma" w:cs="Tahoma"/>
        </w:rPr>
      </w:pPr>
    </w:p>
    <w:p w:rsidR="00EC09FB" w:rsidRDefault="00EC09FB" w:rsidP="008220DA">
      <w:pPr>
        <w:rPr>
          <w:rFonts w:ascii="Tahoma" w:hAnsi="Tahoma" w:cs="Tahoma"/>
        </w:rPr>
      </w:pPr>
    </w:p>
    <w:p w:rsidR="008220DA" w:rsidRPr="00677D5B" w:rsidRDefault="00C564E7" w:rsidP="008220DA">
      <w:pPr>
        <w:rPr>
          <w:rFonts w:ascii="Tahoma" w:hAnsi="Tahoma" w:cs="Tahoma"/>
        </w:rPr>
      </w:pPr>
      <w:r>
        <w:rPr>
          <w:rFonts w:ascii="Tahoma" w:hAnsi="Tahoma" w:cs="Tahoma"/>
          <w:b/>
        </w:rPr>
        <w:t>Authorised</w:t>
      </w:r>
      <w:r w:rsidR="006B6E59" w:rsidRPr="00D46FF6">
        <w:rPr>
          <w:rFonts w:ascii="Tahoma" w:hAnsi="Tahoma" w:cs="Tahoma"/>
          <w:b/>
        </w:rPr>
        <w:t xml:space="preserve"> </w:t>
      </w:r>
      <w:r w:rsidR="00AD4EFF">
        <w:rPr>
          <w:rFonts w:ascii="Tahoma" w:hAnsi="Tahoma" w:cs="Tahoma"/>
          <w:b/>
        </w:rPr>
        <w:t>S</w:t>
      </w:r>
      <w:r w:rsidR="008220DA" w:rsidRPr="00D46FF6">
        <w:rPr>
          <w:rFonts w:ascii="Tahoma" w:hAnsi="Tahoma" w:cs="Tahoma"/>
          <w:b/>
        </w:rPr>
        <w:t>ignature</w:t>
      </w:r>
      <w:r w:rsidR="0053466A">
        <w:rPr>
          <w:rFonts w:ascii="Tahoma" w:hAnsi="Tahoma" w:cs="Tahoma"/>
          <w:b/>
        </w:rPr>
        <w:t>*</w:t>
      </w:r>
      <w:r w:rsidR="008220DA" w:rsidRPr="00D46FF6">
        <w:rPr>
          <w:rFonts w:ascii="Tahoma" w:hAnsi="Tahoma" w:cs="Tahoma"/>
        </w:rPr>
        <w:t xml:space="preserve"> </w:t>
      </w:r>
      <w:r w:rsidR="008220DA" w:rsidRPr="00677D5B">
        <w:rPr>
          <w:rFonts w:ascii="Tahoma" w:hAnsi="Tahoma" w:cs="Tahoma"/>
          <w:color w:val="808080"/>
          <w:sz w:val="20"/>
          <w:szCs w:val="20"/>
        </w:rPr>
        <w:t>………………………………………………………………………..</w:t>
      </w:r>
      <w:r w:rsidR="009E2844">
        <w:rPr>
          <w:rFonts w:ascii="Tahoma" w:hAnsi="Tahoma" w:cs="Tahoma"/>
          <w:color w:val="808080"/>
          <w:sz w:val="20"/>
          <w:szCs w:val="20"/>
        </w:rPr>
        <w:t xml:space="preserve"> </w:t>
      </w:r>
      <w:r w:rsidR="009E2844" w:rsidRPr="009E2844">
        <w:rPr>
          <w:rFonts w:ascii="Tahoma" w:hAnsi="Tahoma" w:cs="Tahoma"/>
          <w:b/>
        </w:rPr>
        <w:t>Date</w:t>
      </w:r>
      <w:r w:rsidR="009E2844">
        <w:rPr>
          <w:rFonts w:ascii="Tahoma" w:hAnsi="Tahoma" w:cs="Tahoma"/>
          <w:color w:val="808080"/>
          <w:sz w:val="20"/>
          <w:szCs w:val="20"/>
        </w:rPr>
        <w:t xml:space="preserve"> ………………………………..</w:t>
      </w:r>
    </w:p>
    <w:p w:rsidR="00D2199D" w:rsidRPr="004149F1" w:rsidRDefault="0053466A" w:rsidP="008220DA">
      <w:pPr>
        <w:rPr>
          <w:rFonts w:ascii="Tahoma" w:hAnsi="Tahoma" w:cs="Tahoma"/>
          <w:b/>
          <w:bCs/>
          <w:color w:val="1F4E79" w:themeColor="accent1" w:themeShade="80"/>
          <w:sz w:val="16"/>
          <w:szCs w:val="16"/>
        </w:rPr>
      </w:pPr>
      <w:r w:rsidRPr="004149F1">
        <w:rPr>
          <w:rFonts w:ascii="Tahoma" w:hAnsi="Tahoma" w:cs="Tahoma"/>
          <w:b/>
          <w:bCs/>
          <w:color w:val="1F4E79" w:themeColor="accent1" w:themeShade="80"/>
          <w:sz w:val="16"/>
          <w:szCs w:val="16"/>
        </w:rPr>
        <w:t>*</w:t>
      </w:r>
      <w:r w:rsidR="00E56357" w:rsidRPr="004149F1">
        <w:rPr>
          <w:rFonts w:ascii="Tahoma" w:hAnsi="Tahoma" w:cs="Tahoma"/>
          <w:b/>
          <w:bCs/>
          <w:color w:val="1F4E79" w:themeColor="accent1" w:themeShade="80"/>
          <w:sz w:val="16"/>
          <w:szCs w:val="16"/>
        </w:rPr>
        <w:t>P</w:t>
      </w:r>
      <w:r w:rsidR="00C564E7" w:rsidRPr="004149F1">
        <w:rPr>
          <w:rFonts w:ascii="Tahoma" w:hAnsi="Tahoma" w:cs="Tahoma"/>
          <w:b/>
          <w:bCs/>
          <w:color w:val="1F4E79" w:themeColor="accent1" w:themeShade="80"/>
          <w:sz w:val="16"/>
          <w:szCs w:val="16"/>
        </w:rPr>
        <w:t>rescriber</w:t>
      </w:r>
      <w:r w:rsidR="001E4D32">
        <w:rPr>
          <w:rFonts w:ascii="Tahoma" w:hAnsi="Tahoma" w:cs="Tahoma"/>
          <w:b/>
          <w:bCs/>
          <w:color w:val="1F4E79" w:themeColor="accent1" w:themeShade="80"/>
          <w:sz w:val="16"/>
          <w:szCs w:val="16"/>
        </w:rPr>
        <w:t xml:space="preserve"> -</w:t>
      </w:r>
      <w:r w:rsidR="00421344" w:rsidRPr="004149F1">
        <w:rPr>
          <w:rFonts w:ascii="Tahoma" w:hAnsi="Tahoma" w:cs="Tahoma"/>
          <w:b/>
          <w:bCs/>
          <w:color w:val="1F4E79" w:themeColor="accent1" w:themeShade="80"/>
          <w:sz w:val="16"/>
          <w:szCs w:val="16"/>
        </w:rPr>
        <w:t xml:space="preserve"> for newly started medicines</w:t>
      </w:r>
      <w:r w:rsidR="00C564E7" w:rsidRPr="004149F1">
        <w:rPr>
          <w:rFonts w:ascii="Tahoma" w:hAnsi="Tahoma" w:cs="Tahoma"/>
          <w:b/>
          <w:bCs/>
          <w:color w:val="1F4E79" w:themeColor="accent1" w:themeShade="80"/>
          <w:sz w:val="16"/>
          <w:szCs w:val="16"/>
        </w:rPr>
        <w:t xml:space="preserve"> </w:t>
      </w:r>
    </w:p>
    <w:p w:rsidR="008220DA" w:rsidRPr="004149F1" w:rsidRDefault="0053466A" w:rsidP="008220DA">
      <w:pPr>
        <w:rPr>
          <w:rFonts w:ascii="Tahoma" w:hAnsi="Tahoma" w:cs="Tahoma"/>
          <w:b/>
          <w:bCs/>
          <w:color w:val="1F4E79" w:themeColor="accent1" w:themeShade="80"/>
          <w:sz w:val="16"/>
          <w:szCs w:val="16"/>
        </w:rPr>
      </w:pPr>
      <w:r w:rsidRPr="004149F1">
        <w:rPr>
          <w:rFonts w:ascii="Tahoma" w:hAnsi="Tahoma" w:cs="Tahoma"/>
          <w:b/>
          <w:bCs/>
          <w:color w:val="1F4E79" w:themeColor="accent1" w:themeShade="80"/>
          <w:sz w:val="16"/>
          <w:szCs w:val="16"/>
        </w:rPr>
        <w:t>*</w:t>
      </w:r>
      <w:r w:rsidR="00421344" w:rsidRPr="004149F1">
        <w:rPr>
          <w:rFonts w:ascii="Tahoma" w:hAnsi="Tahoma" w:cs="Tahoma"/>
          <w:b/>
          <w:bCs/>
          <w:color w:val="1F4E79" w:themeColor="accent1" w:themeShade="80"/>
          <w:sz w:val="16"/>
          <w:szCs w:val="16"/>
        </w:rPr>
        <w:t>Prescriber or Pharmacist</w:t>
      </w:r>
      <w:r w:rsidR="00D2199D" w:rsidRPr="004149F1">
        <w:rPr>
          <w:rFonts w:ascii="Tahoma" w:hAnsi="Tahoma" w:cs="Tahoma"/>
          <w:b/>
          <w:bCs/>
          <w:color w:val="1F4E79" w:themeColor="accent1" w:themeShade="80"/>
          <w:sz w:val="16"/>
          <w:szCs w:val="16"/>
        </w:rPr>
        <w:t xml:space="preserve"> if</w:t>
      </w:r>
      <w:r w:rsidR="005A7E41" w:rsidRPr="004149F1">
        <w:rPr>
          <w:rFonts w:ascii="Tahoma" w:hAnsi="Tahoma" w:cs="Tahoma"/>
          <w:b/>
          <w:bCs/>
          <w:color w:val="1F4E79" w:themeColor="accent1" w:themeShade="80"/>
          <w:sz w:val="16"/>
          <w:szCs w:val="16"/>
        </w:rPr>
        <w:t xml:space="preserve"> a patient is alread</w:t>
      </w:r>
      <w:r w:rsidR="00E56357" w:rsidRPr="004149F1">
        <w:rPr>
          <w:rFonts w:ascii="Tahoma" w:hAnsi="Tahoma" w:cs="Tahoma"/>
          <w:b/>
          <w:bCs/>
          <w:color w:val="1F4E79" w:themeColor="accent1" w:themeShade="80"/>
          <w:sz w:val="16"/>
          <w:szCs w:val="16"/>
        </w:rPr>
        <w:t xml:space="preserve">y taking a medicine and </w:t>
      </w:r>
      <w:r w:rsidR="00D2199D" w:rsidRPr="004149F1">
        <w:rPr>
          <w:rFonts w:ascii="Tahoma" w:hAnsi="Tahoma" w:cs="Tahoma"/>
          <w:b/>
          <w:bCs/>
          <w:color w:val="1F4E79" w:themeColor="accent1" w:themeShade="80"/>
          <w:sz w:val="16"/>
          <w:szCs w:val="16"/>
        </w:rPr>
        <w:t>is unable</w:t>
      </w:r>
      <w:r w:rsidR="00421344" w:rsidRPr="004149F1">
        <w:rPr>
          <w:rFonts w:ascii="Tahoma" w:hAnsi="Tahoma" w:cs="Tahoma"/>
          <w:b/>
          <w:bCs/>
          <w:color w:val="1F4E79" w:themeColor="accent1" w:themeShade="80"/>
          <w:sz w:val="16"/>
          <w:szCs w:val="16"/>
        </w:rPr>
        <w:t xml:space="preserve"> to switch to a Formulary alternative</w:t>
      </w:r>
      <w:r w:rsidR="00D2199D" w:rsidRPr="004149F1">
        <w:rPr>
          <w:rFonts w:ascii="Tahoma" w:hAnsi="Tahoma" w:cs="Tahoma"/>
          <w:b/>
          <w:bCs/>
          <w:color w:val="1F4E79" w:themeColor="accent1" w:themeShade="80"/>
          <w:sz w:val="16"/>
          <w:szCs w:val="16"/>
        </w:rPr>
        <w:t>.</w:t>
      </w:r>
    </w:p>
    <w:p w:rsidR="00D2199D" w:rsidRPr="004149F1" w:rsidRDefault="00D2199D" w:rsidP="008220DA">
      <w:pPr>
        <w:rPr>
          <w:rFonts w:ascii="Tahoma" w:hAnsi="Tahoma" w:cs="Tahoma"/>
          <w:b/>
          <w:bCs/>
          <w:sz w:val="16"/>
          <w:szCs w:val="16"/>
        </w:rPr>
      </w:pPr>
    </w:p>
    <w:p w:rsidR="008220DA" w:rsidRPr="00677D5B" w:rsidRDefault="000F1F1B" w:rsidP="008220DA">
      <w:pPr>
        <w:rPr>
          <w:rFonts w:ascii="Tahoma" w:hAnsi="Tahoma" w:cs="Tahoma"/>
          <w:b/>
          <w:bCs/>
          <w:sz w:val="22"/>
          <w:szCs w:val="22"/>
        </w:rPr>
      </w:pPr>
      <w:r>
        <w:rPr>
          <w:rFonts w:ascii="Tahoma" w:hAnsi="Tahoma" w:cs="Tahoma"/>
          <w:b/>
          <w:bCs/>
          <w:sz w:val="22"/>
          <w:szCs w:val="22"/>
        </w:rPr>
        <w:t>Return</w:t>
      </w:r>
      <w:r w:rsidR="008220DA" w:rsidRPr="00677D5B">
        <w:rPr>
          <w:rFonts w:ascii="Tahoma" w:hAnsi="Tahoma" w:cs="Tahoma"/>
          <w:b/>
          <w:bCs/>
          <w:sz w:val="22"/>
          <w:szCs w:val="22"/>
        </w:rPr>
        <w:t xml:space="preserve"> completed </w:t>
      </w:r>
      <w:r>
        <w:rPr>
          <w:rFonts w:ascii="Tahoma" w:hAnsi="Tahoma" w:cs="Tahoma"/>
          <w:b/>
          <w:bCs/>
          <w:sz w:val="22"/>
          <w:szCs w:val="22"/>
        </w:rPr>
        <w:t>form</w:t>
      </w:r>
      <w:r w:rsidR="008220DA" w:rsidRPr="00677D5B">
        <w:rPr>
          <w:rFonts w:ascii="Tahoma" w:hAnsi="Tahoma" w:cs="Tahoma"/>
          <w:b/>
          <w:bCs/>
          <w:sz w:val="22"/>
          <w:szCs w:val="22"/>
        </w:rPr>
        <w:t xml:space="preserve"> to Pharmacy</w:t>
      </w:r>
      <w:r>
        <w:rPr>
          <w:rFonts w:ascii="Tahoma" w:hAnsi="Tahoma" w:cs="Tahoma"/>
          <w:b/>
          <w:bCs/>
          <w:sz w:val="22"/>
          <w:szCs w:val="22"/>
        </w:rPr>
        <w:t>.</w:t>
      </w:r>
    </w:p>
    <w:p w:rsidR="00E56357" w:rsidRPr="00677D5B" w:rsidRDefault="00E56357" w:rsidP="00EC09FB">
      <w:pPr>
        <w:pBdr>
          <w:bottom w:val="single" w:sz="12" w:space="0" w:color="auto"/>
        </w:pBdr>
        <w:rPr>
          <w:rFonts w:ascii="Tahoma" w:hAnsi="Tahoma" w:cs="Tahoma"/>
          <w:b/>
          <w:bCs/>
        </w:rPr>
      </w:pPr>
    </w:p>
    <w:p w:rsidR="008220DA" w:rsidRPr="00B01E68" w:rsidRDefault="008220DA" w:rsidP="008220DA">
      <w:pPr>
        <w:rPr>
          <w:rFonts w:ascii="Tahoma" w:hAnsi="Tahoma" w:cs="Tahoma"/>
          <w:b/>
          <w:bCs/>
          <w:sz w:val="18"/>
          <w:szCs w:val="18"/>
        </w:rPr>
      </w:pPr>
      <w:r w:rsidRPr="00B01E68">
        <w:rPr>
          <w:rFonts w:ascii="Tahoma" w:hAnsi="Tahoma" w:cs="Tahoma"/>
          <w:b/>
          <w:bCs/>
          <w:sz w:val="18"/>
          <w:szCs w:val="18"/>
        </w:rPr>
        <w:t xml:space="preserve">FOR PHARMACY USE ONLY </w:t>
      </w:r>
    </w:p>
    <w:p w:rsidR="00663C1C" w:rsidRPr="00677D5B" w:rsidRDefault="00663C1C" w:rsidP="008220DA">
      <w:pPr>
        <w:rPr>
          <w:rFonts w:ascii="Tahoma" w:hAnsi="Tahoma" w:cs="Tahoma"/>
          <w:b/>
          <w:bCs/>
          <w:sz w:val="18"/>
          <w:szCs w:val="18"/>
          <w:u w:val="single"/>
        </w:rPr>
      </w:pPr>
    </w:p>
    <w:p w:rsidR="008220DA" w:rsidRPr="00D46FF6" w:rsidRDefault="006B6E59" w:rsidP="008220DA">
      <w:pPr>
        <w:rPr>
          <w:rFonts w:ascii="Tahoma" w:hAnsi="Tahoma" w:cs="Tahoma"/>
          <w:sz w:val="18"/>
          <w:szCs w:val="18"/>
        </w:rPr>
      </w:pPr>
      <w:r w:rsidRPr="00D46FF6">
        <w:rPr>
          <w:rFonts w:ascii="Tahoma" w:hAnsi="Tahoma" w:cs="Tahoma"/>
          <w:b/>
          <w:sz w:val="18"/>
          <w:szCs w:val="18"/>
        </w:rPr>
        <w:t>Pharmacist</w:t>
      </w:r>
      <w:r w:rsidR="008220DA" w:rsidRPr="00D46FF6">
        <w:rPr>
          <w:rFonts w:ascii="Tahoma" w:hAnsi="Tahoma" w:cs="Tahoma"/>
          <w:b/>
          <w:sz w:val="18"/>
          <w:szCs w:val="18"/>
        </w:rPr>
        <w:t xml:space="preserve"> approval</w:t>
      </w:r>
      <w:r w:rsidR="00C564E7">
        <w:rPr>
          <w:rFonts w:ascii="Tahoma" w:hAnsi="Tahoma" w:cs="Tahoma"/>
          <w:b/>
          <w:sz w:val="18"/>
          <w:szCs w:val="18"/>
        </w:rPr>
        <w:t xml:space="preserve"> (see over</w:t>
      </w:r>
      <w:r w:rsidRPr="00D46FF6">
        <w:rPr>
          <w:rFonts w:ascii="Tahoma" w:hAnsi="Tahoma" w:cs="Tahoma"/>
          <w:b/>
          <w:sz w:val="18"/>
          <w:szCs w:val="18"/>
        </w:rPr>
        <w:t>)</w:t>
      </w:r>
      <w:r w:rsidR="008220DA" w:rsidRPr="00D46FF6">
        <w:rPr>
          <w:rFonts w:ascii="Tahoma" w:hAnsi="Tahoma" w:cs="Tahoma"/>
          <w:b/>
          <w:bCs/>
          <w:sz w:val="18"/>
          <w:szCs w:val="18"/>
        </w:rPr>
        <w:t xml:space="preserve"> </w:t>
      </w:r>
      <w:r w:rsidR="00B01E68" w:rsidRPr="00D46FF6">
        <w:rPr>
          <w:rFonts w:ascii="Tahoma" w:hAnsi="Tahoma" w:cs="Tahoma"/>
          <w:sz w:val="18"/>
          <w:szCs w:val="18"/>
        </w:rPr>
        <w:t>(Name and signature)</w:t>
      </w:r>
      <w:r w:rsidR="00B01E68">
        <w:rPr>
          <w:rFonts w:ascii="Tahoma" w:hAnsi="Tahoma" w:cs="Tahoma"/>
          <w:sz w:val="18"/>
          <w:szCs w:val="18"/>
        </w:rPr>
        <w:t>…………………………………</w:t>
      </w:r>
      <w:r w:rsidR="008220DA" w:rsidRPr="00D46FF6">
        <w:rPr>
          <w:rFonts w:ascii="Tahoma" w:hAnsi="Tahoma" w:cs="Tahoma"/>
          <w:sz w:val="18"/>
          <w:szCs w:val="18"/>
        </w:rPr>
        <w:t>…</w:t>
      </w:r>
      <w:r w:rsidRPr="00D46FF6">
        <w:rPr>
          <w:rFonts w:ascii="Tahoma" w:hAnsi="Tahoma" w:cs="Tahoma"/>
          <w:sz w:val="18"/>
          <w:szCs w:val="18"/>
        </w:rPr>
        <w:t>…………………….</w:t>
      </w:r>
      <w:r w:rsidR="008220DA" w:rsidRPr="00D46FF6">
        <w:rPr>
          <w:rFonts w:ascii="Tahoma" w:hAnsi="Tahoma" w:cs="Tahoma"/>
          <w:sz w:val="18"/>
          <w:szCs w:val="18"/>
        </w:rPr>
        <w:t xml:space="preserve">   </w:t>
      </w:r>
      <w:r w:rsidR="008220DA" w:rsidRPr="00D46FF6">
        <w:rPr>
          <w:rFonts w:ascii="Tahoma" w:hAnsi="Tahoma" w:cs="Tahoma"/>
          <w:b/>
          <w:sz w:val="18"/>
          <w:szCs w:val="18"/>
        </w:rPr>
        <w:t>Date</w:t>
      </w:r>
      <w:r w:rsidR="008220DA" w:rsidRPr="00D46FF6">
        <w:rPr>
          <w:rFonts w:ascii="Tahoma" w:hAnsi="Tahoma" w:cs="Tahoma"/>
          <w:sz w:val="18"/>
          <w:szCs w:val="18"/>
        </w:rPr>
        <w:t>…………………………..</w:t>
      </w:r>
    </w:p>
    <w:p w:rsidR="00C34AB3" w:rsidRPr="00B4721A" w:rsidRDefault="00C34AB3" w:rsidP="00C34AB3">
      <w:pPr>
        <w:rPr>
          <w:rFonts w:ascii="Tahoma" w:hAnsi="Tahoma" w:cs="Tahoma"/>
          <w:b/>
          <w:sz w:val="20"/>
          <w:szCs w:val="20"/>
        </w:rPr>
      </w:pPr>
      <w:r>
        <w:rPr>
          <w:rFonts w:ascii="Tahoma" w:hAnsi="Tahoma" w:cs="Tahoma"/>
          <w:b/>
          <w:sz w:val="20"/>
          <w:szCs w:val="20"/>
        </w:rPr>
        <w:t>Give</w:t>
      </w:r>
      <w:r w:rsidRPr="00B4721A">
        <w:rPr>
          <w:rFonts w:ascii="Tahoma" w:hAnsi="Tahoma" w:cs="Tahoma"/>
          <w:b/>
          <w:sz w:val="20"/>
          <w:szCs w:val="20"/>
        </w:rPr>
        <w:t xml:space="preserve"> completed forms to logistics along with a prescriptio</w:t>
      </w:r>
      <w:r>
        <w:rPr>
          <w:rFonts w:ascii="Tahoma" w:hAnsi="Tahoma" w:cs="Tahoma"/>
          <w:b/>
          <w:sz w:val="20"/>
          <w:szCs w:val="20"/>
        </w:rPr>
        <w:t>n/</w:t>
      </w:r>
      <w:r w:rsidRPr="00B4721A">
        <w:rPr>
          <w:rFonts w:ascii="Tahoma" w:hAnsi="Tahoma" w:cs="Tahoma"/>
          <w:b/>
          <w:sz w:val="20"/>
          <w:szCs w:val="20"/>
        </w:rPr>
        <w:t>order form.</w:t>
      </w:r>
    </w:p>
    <w:p w:rsidR="00B01E68" w:rsidRDefault="00B01E68" w:rsidP="008220DA">
      <w:pPr>
        <w:rPr>
          <w:rFonts w:ascii="Tahoma" w:hAnsi="Tahoma" w:cs="Tahoma"/>
          <w:b/>
          <w:sz w:val="18"/>
          <w:szCs w:val="18"/>
        </w:rPr>
      </w:pPr>
    </w:p>
    <w:p w:rsidR="00702533" w:rsidRPr="00EC09FB" w:rsidRDefault="00B01E68" w:rsidP="008220DA">
      <w:pPr>
        <w:rPr>
          <w:rFonts w:ascii="Tahoma" w:hAnsi="Tahoma" w:cs="Tahoma"/>
          <w:sz w:val="18"/>
          <w:szCs w:val="18"/>
        </w:rPr>
      </w:pPr>
      <w:r w:rsidRPr="00B01E68">
        <w:rPr>
          <w:rFonts w:ascii="Tahoma" w:hAnsi="Tahoma" w:cs="Tahoma"/>
          <w:b/>
          <w:sz w:val="18"/>
          <w:szCs w:val="18"/>
        </w:rPr>
        <w:t>Logistics:</w:t>
      </w:r>
      <w:r>
        <w:rPr>
          <w:rFonts w:ascii="Tahoma" w:hAnsi="Tahoma" w:cs="Tahoma"/>
          <w:b/>
          <w:sz w:val="18"/>
          <w:szCs w:val="18"/>
        </w:rPr>
        <w:t xml:space="preserve"> </w:t>
      </w:r>
      <w:r w:rsidRPr="00B01E68">
        <w:rPr>
          <w:rFonts w:ascii="Tahoma" w:hAnsi="Tahoma" w:cs="Tahoma"/>
          <w:sz w:val="18"/>
          <w:szCs w:val="18"/>
        </w:rPr>
        <w:t>(see over for subsequent supplies)</w:t>
      </w:r>
    </w:p>
    <w:tbl>
      <w:tblPr>
        <w:tblStyle w:val="TableGrid"/>
        <w:tblW w:w="0" w:type="auto"/>
        <w:tblInd w:w="-5" w:type="dxa"/>
        <w:tblLook w:val="04A0" w:firstRow="1" w:lastRow="0" w:firstColumn="1" w:lastColumn="0" w:noHBand="0" w:noVBand="1"/>
      </w:tblPr>
      <w:tblGrid>
        <w:gridCol w:w="1701"/>
        <w:gridCol w:w="2552"/>
        <w:gridCol w:w="3544"/>
        <w:gridCol w:w="2664"/>
      </w:tblGrid>
      <w:tr w:rsidR="00B01E68" w:rsidTr="00702533">
        <w:tc>
          <w:tcPr>
            <w:tcW w:w="1701" w:type="dxa"/>
          </w:tcPr>
          <w:p w:rsidR="00B01E68" w:rsidRPr="00702533" w:rsidRDefault="00B01E68" w:rsidP="00CA52E8">
            <w:pPr>
              <w:rPr>
                <w:rFonts w:asciiTheme="minorHAnsi" w:hAnsiTheme="minorHAnsi"/>
                <w:b/>
              </w:rPr>
            </w:pPr>
            <w:r w:rsidRPr="00702533">
              <w:rPr>
                <w:rFonts w:asciiTheme="minorHAnsi" w:hAnsiTheme="minorHAnsi"/>
                <w:b/>
              </w:rPr>
              <w:t>Date</w:t>
            </w:r>
          </w:p>
        </w:tc>
        <w:tc>
          <w:tcPr>
            <w:tcW w:w="2552" w:type="dxa"/>
          </w:tcPr>
          <w:p w:rsidR="00B01E68" w:rsidRPr="00702533" w:rsidRDefault="00B01E68" w:rsidP="00CA52E8">
            <w:pPr>
              <w:rPr>
                <w:rFonts w:asciiTheme="minorHAnsi" w:hAnsiTheme="minorHAnsi"/>
                <w:b/>
              </w:rPr>
            </w:pPr>
            <w:r w:rsidRPr="00702533">
              <w:rPr>
                <w:rFonts w:asciiTheme="minorHAnsi" w:hAnsiTheme="minorHAnsi"/>
                <w:b/>
              </w:rPr>
              <w:t>Quantity</w:t>
            </w:r>
          </w:p>
        </w:tc>
        <w:tc>
          <w:tcPr>
            <w:tcW w:w="3544" w:type="dxa"/>
          </w:tcPr>
          <w:p w:rsidR="00B01E68" w:rsidRPr="00702533" w:rsidRDefault="00B01E68" w:rsidP="00CA52E8">
            <w:pPr>
              <w:rPr>
                <w:rFonts w:asciiTheme="minorHAnsi" w:hAnsiTheme="minorHAnsi"/>
                <w:b/>
              </w:rPr>
            </w:pPr>
            <w:r w:rsidRPr="00702533">
              <w:rPr>
                <w:rFonts w:asciiTheme="minorHAnsi" w:hAnsiTheme="minorHAnsi"/>
                <w:b/>
              </w:rPr>
              <w:t>Supplier</w:t>
            </w:r>
          </w:p>
        </w:tc>
        <w:tc>
          <w:tcPr>
            <w:tcW w:w="2664" w:type="dxa"/>
          </w:tcPr>
          <w:p w:rsidR="00B01E68" w:rsidRPr="00702533" w:rsidRDefault="00B01E68" w:rsidP="00CA52E8">
            <w:pPr>
              <w:rPr>
                <w:rFonts w:asciiTheme="minorHAnsi" w:hAnsiTheme="minorHAnsi"/>
                <w:b/>
              </w:rPr>
            </w:pPr>
            <w:r w:rsidRPr="00702533">
              <w:rPr>
                <w:rFonts w:asciiTheme="minorHAnsi" w:hAnsiTheme="minorHAnsi"/>
                <w:b/>
              </w:rPr>
              <w:t>Ordered by:</w:t>
            </w:r>
          </w:p>
        </w:tc>
      </w:tr>
      <w:tr w:rsidR="00B01E68" w:rsidTr="00702533">
        <w:tc>
          <w:tcPr>
            <w:tcW w:w="1701" w:type="dxa"/>
          </w:tcPr>
          <w:p w:rsidR="00B01E68" w:rsidRDefault="00B01E68" w:rsidP="00CA52E8">
            <w:pPr>
              <w:rPr>
                <w:rFonts w:asciiTheme="minorHAnsi" w:hAnsiTheme="minorHAnsi"/>
              </w:rPr>
            </w:pPr>
          </w:p>
        </w:tc>
        <w:tc>
          <w:tcPr>
            <w:tcW w:w="2552" w:type="dxa"/>
          </w:tcPr>
          <w:p w:rsidR="00B01E68" w:rsidRDefault="00B01E68" w:rsidP="00CA52E8">
            <w:pPr>
              <w:rPr>
                <w:rFonts w:asciiTheme="minorHAnsi" w:hAnsiTheme="minorHAnsi"/>
              </w:rPr>
            </w:pPr>
          </w:p>
        </w:tc>
        <w:tc>
          <w:tcPr>
            <w:tcW w:w="3544" w:type="dxa"/>
          </w:tcPr>
          <w:p w:rsidR="00B01E68" w:rsidRDefault="00B01E68" w:rsidP="00CA52E8">
            <w:pPr>
              <w:rPr>
                <w:rFonts w:asciiTheme="minorHAnsi" w:hAnsiTheme="minorHAnsi"/>
              </w:rPr>
            </w:pPr>
          </w:p>
        </w:tc>
        <w:tc>
          <w:tcPr>
            <w:tcW w:w="2664" w:type="dxa"/>
          </w:tcPr>
          <w:p w:rsidR="00B01E68" w:rsidRDefault="00B01E68" w:rsidP="00CA52E8">
            <w:pPr>
              <w:rPr>
                <w:rFonts w:asciiTheme="minorHAnsi" w:hAnsiTheme="minorHAnsi"/>
              </w:rPr>
            </w:pPr>
          </w:p>
        </w:tc>
      </w:tr>
    </w:tbl>
    <w:p w:rsidR="002D1D71" w:rsidRPr="00A36996" w:rsidRDefault="002D1D71" w:rsidP="002D1D71">
      <w:pPr>
        <w:rPr>
          <w:rFonts w:ascii="Verdana" w:hAnsi="Verdana"/>
          <w:b/>
          <w:u w:val="single"/>
        </w:rPr>
      </w:pPr>
      <w:r>
        <w:rPr>
          <w:rFonts w:ascii="Verdana" w:hAnsi="Verdana"/>
          <w:b/>
          <w:u w:val="single"/>
        </w:rPr>
        <w:lastRenderedPageBreak/>
        <w:t xml:space="preserve">Non-Formulary </w:t>
      </w:r>
      <w:r w:rsidR="00663C1C">
        <w:rPr>
          <w:rFonts w:ascii="Verdana" w:hAnsi="Verdana"/>
          <w:b/>
          <w:u w:val="single"/>
        </w:rPr>
        <w:t xml:space="preserve">(NF) </w:t>
      </w:r>
      <w:r>
        <w:rPr>
          <w:rFonts w:ascii="Verdana" w:hAnsi="Verdana"/>
          <w:b/>
          <w:u w:val="single"/>
        </w:rPr>
        <w:t>P</w:t>
      </w:r>
      <w:r w:rsidRPr="00A36996">
        <w:rPr>
          <w:rFonts w:ascii="Verdana" w:hAnsi="Verdana"/>
          <w:b/>
          <w:u w:val="single"/>
        </w:rPr>
        <w:t>rescribing Guidance</w:t>
      </w:r>
    </w:p>
    <w:p w:rsidR="002D1D71" w:rsidRPr="00702533" w:rsidRDefault="002D1D71" w:rsidP="002D1D71">
      <w:pPr>
        <w:rPr>
          <w:rFonts w:ascii="Verdana" w:hAnsi="Verdana"/>
          <w:b/>
          <w:sz w:val="22"/>
          <w:szCs w:val="22"/>
        </w:rPr>
      </w:pPr>
    </w:p>
    <w:p w:rsidR="002D1D71" w:rsidRPr="00702533" w:rsidRDefault="002D1D71" w:rsidP="002D1D71">
      <w:pPr>
        <w:rPr>
          <w:rFonts w:ascii="Verdana" w:hAnsi="Verdana"/>
          <w:sz w:val="20"/>
          <w:szCs w:val="20"/>
        </w:rPr>
      </w:pPr>
      <w:r w:rsidRPr="00702533">
        <w:rPr>
          <w:rFonts w:ascii="Verdana" w:hAnsi="Verdana"/>
          <w:sz w:val="20"/>
          <w:szCs w:val="20"/>
        </w:rPr>
        <w:t>All prescribers working within CTMUHB are expected to prescribe within the</w:t>
      </w:r>
      <w:r>
        <w:rPr>
          <w:rFonts w:ascii="Verdana" w:hAnsi="Verdana"/>
          <w:sz w:val="20"/>
          <w:szCs w:val="20"/>
        </w:rPr>
        <w:t xml:space="preserve"> formulary where possible. Non-F</w:t>
      </w:r>
      <w:r w:rsidRPr="00702533">
        <w:rPr>
          <w:rFonts w:ascii="Verdana" w:hAnsi="Verdana"/>
          <w:sz w:val="20"/>
          <w:szCs w:val="20"/>
        </w:rPr>
        <w:t>ormulary items will not be routinely stocked within CT</w:t>
      </w:r>
      <w:r>
        <w:rPr>
          <w:rFonts w:ascii="Verdana" w:hAnsi="Verdana"/>
          <w:sz w:val="20"/>
          <w:szCs w:val="20"/>
        </w:rPr>
        <w:t>M</w:t>
      </w:r>
      <w:r w:rsidRPr="00702533">
        <w:rPr>
          <w:rFonts w:ascii="Verdana" w:hAnsi="Verdana"/>
          <w:sz w:val="20"/>
          <w:szCs w:val="20"/>
        </w:rPr>
        <w:t>UHB hos</w:t>
      </w:r>
      <w:r>
        <w:rPr>
          <w:rFonts w:ascii="Verdana" w:hAnsi="Verdana"/>
          <w:sz w:val="20"/>
          <w:szCs w:val="20"/>
        </w:rPr>
        <w:t xml:space="preserve">pital pharmacies and prescribers </w:t>
      </w:r>
      <w:r w:rsidRPr="00702533">
        <w:rPr>
          <w:rFonts w:ascii="Verdana" w:hAnsi="Verdana"/>
          <w:sz w:val="20"/>
          <w:szCs w:val="20"/>
        </w:rPr>
        <w:t xml:space="preserve">must be aware that there could be delays of up to 48 hours before stock can be obtained. This delay may be longer at weekends or Bank Holidays. </w:t>
      </w:r>
    </w:p>
    <w:p w:rsidR="002D1D71" w:rsidRPr="00702533" w:rsidRDefault="002D1D71" w:rsidP="002D1D71">
      <w:pPr>
        <w:rPr>
          <w:rFonts w:ascii="Verdana" w:hAnsi="Verdana"/>
          <w:sz w:val="22"/>
          <w:szCs w:val="22"/>
        </w:rPr>
      </w:pPr>
    </w:p>
    <w:p w:rsidR="002D1D71" w:rsidRPr="00D57E9C" w:rsidRDefault="002D1D71" w:rsidP="002D1D71">
      <w:pPr>
        <w:rPr>
          <w:rFonts w:ascii="Verdana" w:hAnsi="Verdana"/>
          <w:b/>
          <w:sz w:val="22"/>
          <w:szCs w:val="22"/>
        </w:rPr>
      </w:pPr>
      <w:r w:rsidRPr="00D57E9C">
        <w:rPr>
          <w:rFonts w:ascii="Verdana" w:hAnsi="Verdana"/>
          <w:b/>
          <w:sz w:val="22"/>
          <w:szCs w:val="22"/>
        </w:rPr>
        <w:t>Patients who are already taking a Non-Formulary medicine prior to admission to Hospital or prior to an Outpatient consultation</w:t>
      </w:r>
    </w:p>
    <w:p w:rsidR="002D1D71" w:rsidRPr="00702533" w:rsidRDefault="002D1D71" w:rsidP="002D1D71">
      <w:pPr>
        <w:rPr>
          <w:rFonts w:ascii="Verdana" w:hAnsi="Verdana"/>
          <w:b/>
          <w:bCs/>
          <w:sz w:val="22"/>
          <w:szCs w:val="22"/>
        </w:rPr>
      </w:pPr>
    </w:p>
    <w:p w:rsidR="002D1D71" w:rsidRPr="00C564E7" w:rsidRDefault="00D2199D" w:rsidP="00C564E7">
      <w:pPr>
        <w:rPr>
          <w:rFonts w:ascii="Verdana" w:hAnsi="Verdana"/>
          <w:sz w:val="20"/>
          <w:szCs w:val="20"/>
        </w:rPr>
      </w:pPr>
      <w:r>
        <w:rPr>
          <w:rFonts w:ascii="Verdana" w:hAnsi="Verdana"/>
          <w:sz w:val="20"/>
          <w:szCs w:val="20"/>
        </w:rPr>
        <w:t>If a Formulary alternative</w:t>
      </w:r>
      <w:r w:rsidR="002D1D71">
        <w:rPr>
          <w:rFonts w:ascii="Verdana" w:hAnsi="Verdana"/>
          <w:sz w:val="20"/>
          <w:szCs w:val="20"/>
        </w:rPr>
        <w:t xml:space="preserve"> may be suitable, the</w:t>
      </w:r>
      <w:r w:rsidR="002D1D71" w:rsidRPr="00702533">
        <w:rPr>
          <w:rFonts w:ascii="Verdana" w:hAnsi="Verdana"/>
          <w:sz w:val="20"/>
          <w:szCs w:val="20"/>
        </w:rPr>
        <w:t xml:space="preserve"> </w:t>
      </w:r>
      <w:r w:rsidR="002D1D71">
        <w:rPr>
          <w:rFonts w:ascii="Verdana" w:hAnsi="Verdana"/>
          <w:sz w:val="20"/>
          <w:szCs w:val="20"/>
        </w:rPr>
        <w:t>Pharmacist and</w:t>
      </w:r>
      <w:r w:rsidR="002D1D71" w:rsidRPr="00702533">
        <w:rPr>
          <w:rFonts w:ascii="Verdana" w:hAnsi="Verdana"/>
          <w:sz w:val="20"/>
          <w:szCs w:val="20"/>
        </w:rPr>
        <w:t xml:space="preserve"> the prescriber </w:t>
      </w:r>
      <w:r w:rsidR="002D1D71">
        <w:rPr>
          <w:rFonts w:ascii="Verdana" w:hAnsi="Verdana"/>
          <w:sz w:val="20"/>
          <w:szCs w:val="20"/>
        </w:rPr>
        <w:t>should discuss whether a switch can be</w:t>
      </w:r>
      <w:r>
        <w:rPr>
          <w:rFonts w:ascii="Verdana" w:hAnsi="Verdana"/>
          <w:sz w:val="20"/>
          <w:szCs w:val="20"/>
        </w:rPr>
        <w:t xml:space="preserve"> made</w:t>
      </w:r>
      <w:r w:rsidR="002D1D71" w:rsidRPr="00702533">
        <w:rPr>
          <w:rFonts w:ascii="Verdana" w:hAnsi="Verdana"/>
          <w:sz w:val="20"/>
          <w:szCs w:val="20"/>
        </w:rPr>
        <w:t xml:space="preserve">. If </w:t>
      </w:r>
      <w:r w:rsidR="002D1D71">
        <w:rPr>
          <w:rFonts w:ascii="Verdana" w:hAnsi="Verdana"/>
          <w:sz w:val="20"/>
          <w:szCs w:val="20"/>
        </w:rPr>
        <w:t>it is not appropriate</w:t>
      </w:r>
      <w:r>
        <w:rPr>
          <w:rFonts w:ascii="Verdana" w:hAnsi="Verdana"/>
          <w:sz w:val="20"/>
          <w:szCs w:val="20"/>
        </w:rPr>
        <w:t xml:space="preserve"> to change the medication,</w:t>
      </w:r>
      <w:r w:rsidR="002D1D71" w:rsidRPr="00702533">
        <w:rPr>
          <w:rFonts w:ascii="Verdana" w:hAnsi="Verdana"/>
          <w:sz w:val="20"/>
          <w:szCs w:val="20"/>
        </w:rPr>
        <w:t xml:space="preserve"> </w:t>
      </w:r>
      <w:r w:rsidR="00C564E7">
        <w:rPr>
          <w:rFonts w:ascii="Verdana" w:hAnsi="Verdana"/>
          <w:sz w:val="20"/>
          <w:szCs w:val="20"/>
        </w:rPr>
        <w:t>a</w:t>
      </w:r>
      <w:r w:rsidR="00663C1C">
        <w:rPr>
          <w:rFonts w:ascii="Verdana" w:hAnsi="Verdana"/>
          <w:b/>
          <w:color w:val="538135" w:themeColor="accent6" w:themeShade="BF"/>
          <w:sz w:val="20"/>
          <w:szCs w:val="20"/>
        </w:rPr>
        <w:t xml:space="preserve"> </w:t>
      </w:r>
      <w:r w:rsidR="00663C1C" w:rsidRPr="00663C1C">
        <w:rPr>
          <w:rFonts w:ascii="Verdana" w:hAnsi="Verdana"/>
          <w:sz w:val="20"/>
          <w:szCs w:val="20"/>
        </w:rPr>
        <w:t>NF</w:t>
      </w:r>
      <w:r w:rsidR="002D1D71" w:rsidRPr="00663C1C">
        <w:rPr>
          <w:rFonts w:ascii="Verdana" w:hAnsi="Verdana"/>
          <w:sz w:val="20"/>
          <w:szCs w:val="20"/>
        </w:rPr>
        <w:t xml:space="preserve"> Medicine </w:t>
      </w:r>
      <w:r w:rsidR="00C564E7" w:rsidRPr="00663C1C">
        <w:rPr>
          <w:rFonts w:ascii="Verdana" w:hAnsi="Verdana"/>
          <w:sz w:val="20"/>
          <w:szCs w:val="20"/>
        </w:rPr>
        <w:t xml:space="preserve">request </w:t>
      </w:r>
      <w:r w:rsidR="00005DE2">
        <w:rPr>
          <w:rFonts w:ascii="Verdana" w:hAnsi="Verdana"/>
          <w:sz w:val="20"/>
          <w:szCs w:val="20"/>
        </w:rPr>
        <w:t>f</w:t>
      </w:r>
      <w:r>
        <w:rPr>
          <w:rFonts w:ascii="Verdana" w:hAnsi="Verdana"/>
          <w:sz w:val="20"/>
          <w:szCs w:val="20"/>
        </w:rPr>
        <w:t>orm can be completed by a P</w:t>
      </w:r>
      <w:r w:rsidR="002D1D71" w:rsidRPr="00C564E7">
        <w:rPr>
          <w:rFonts w:ascii="Verdana" w:hAnsi="Verdana"/>
          <w:sz w:val="20"/>
          <w:szCs w:val="20"/>
        </w:rPr>
        <w:t>harmacist, authorised by a senior pharmacist and pa</w:t>
      </w:r>
      <w:r w:rsidR="00A1208A" w:rsidRPr="00C564E7">
        <w:rPr>
          <w:rFonts w:ascii="Verdana" w:hAnsi="Verdana"/>
          <w:sz w:val="20"/>
          <w:szCs w:val="20"/>
        </w:rPr>
        <w:t>ssed to the logistics team</w:t>
      </w:r>
      <w:r w:rsidR="00663C1C">
        <w:rPr>
          <w:rFonts w:ascii="Verdana" w:hAnsi="Verdana"/>
          <w:sz w:val="20"/>
          <w:szCs w:val="20"/>
        </w:rPr>
        <w:t xml:space="preserve"> for ordering</w:t>
      </w:r>
      <w:r w:rsidR="002D1D71" w:rsidRPr="00C564E7">
        <w:rPr>
          <w:rFonts w:ascii="Verdana" w:hAnsi="Verdana"/>
          <w:sz w:val="20"/>
          <w:szCs w:val="20"/>
        </w:rPr>
        <w:t xml:space="preserve">. </w:t>
      </w:r>
    </w:p>
    <w:p w:rsidR="002D1D71" w:rsidRPr="00D57E9C" w:rsidRDefault="002D1D71" w:rsidP="002D1D71">
      <w:pPr>
        <w:rPr>
          <w:rFonts w:ascii="Verdana" w:hAnsi="Verdana"/>
          <w:sz w:val="20"/>
          <w:szCs w:val="20"/>
        </w:rPr>
      </w:pPr>
    </w:p>
    <w:p w:rsidR="002D1D71" w:rsidRPr="00702533" w:rsidRDefault="002D1D71" w:rsidP="002D1D71">
      <w:pPr>
        <w:pStyle w:val="pshangout"/>
        <w:ind w:firstLine="0"/>
        <w:rPr>
          <w:rFonts w:ascii="Verdana" w:hAnsi="Verdana"/>
          <w:color w:val="auto"/>
          <w:sz w:val="22"/>
          <w:szCs w:val="22"/>
        </w:rPr>
      </w:pPr>
      <w:r w:rsidRPr="00702533">
        <w:rPr>
          <w:rFonts w:ascii="Verdana" w:hAnsi="Verdana" w:cs="Times New Roman"/>
          <w:b/>
          <w:color w:val="auto"/>
          <w:sz w:val="22"/>
          <w:szCs w:val="22"/>
        </w:rPr>
        <w:t>Requests to</w:t>
      </w:r>
      <w:r w:rsidRPr="00702533">
        <w:rPr>
          <w:rFonts w:ascii="Verdana" w:hAnsi="Verdana" w:cs="Times New Roman"/>
          <w:color w:val="auto"/>
          <w:sz w:val="22"/>
          <w:szCs w:val="22"/>
        </w:rPr>
        <w:t xml:space="preserve"> </w:t>
      </w:r>
      <w:r w:rsidRPr="00702533">
        <w:rPr>
          <w:rFonts w:ascii="Verdana" w:hAnsi="Verdana"/>
          <w:b/>
          <w:bCs/>
          <w:color w:val="auto"/>
          <w:sz w:val="22"/>
          <w:szCs w:val="22"/>
        </w:rPr>
        <w:t xml:space="preserve">Initiate a </w:t>
      </w:r>
      <w:r>
        <w:rPr>
          <w:rFonts w:ascii="Verdana" w:hAnsi="Verdana"/>
          <w:b/>
          <w:bCs/>
          <w:color w:val="auto"/>
          <w:sz w:val="22"/>
          <w:szCs w:val="22"/>
        </w:rPr>
        <w:t>Non-Formulary Medicine</w:t>
      </w:r>
      <w:r w:rsidRPr="00702533">
        <w:rPr>
          <w:rFonts w:ascii="Verdana" w:hAnsi="Verdana"/>
          <w:b/>
          <w:bCs/>
          <w:color w:val="auto"/>
          <w:sz w:val="22"/>
          <w:szCs w:val="22"/>
        </w:rPr>
        <w:t xml:space="preserve"> for an Inpatient or Outpatient</w:t>
      </w:r>
      <w:r w:rsidRPr="00702533">
        <w:rPr>
          <w:rFonts w:ascii="Verdana" w:hAnsi="Verdana"/>
          <w:color w:val="auto"/>
          <w:sz w:val="22"/>
          <w:szCs w:val="22"/>
        </w:rPr>
        <w:t> </w:t>
      </w:r>
    </w:p>
    <w:p w:rsidR="002D1D71" w:rsidRPr="00702533" w:rsidRDefault="00C564E7" w:rsidP="002D1D71">
      <w:pPr>
        <w:pStyle w:val="pshangout"/>
        <w:ind w:firstLine="0"/>
        <w:rPr>
          <w:rFonts w:ascii="Verdana" w:hAnsi="Verdana"/>
          <w:b/>
          <w:bCs/>
          <w:color w:val="auto"/>
          <w:sz w:val="20"/>
          <w:szCs w:val="20"/>
        </w:rPr>
      </w:pPr>
      <w:r>
        <w:rPr>
          <w:rFonts w:ascii="Verdana" w:hAnsi="Verdana"/>
          <w:bCs/>
          <w:color w:val="auto"/>
          <w:sz w:val="20"/>
          <w:szCs w:val="20"/>
        </w:rPr>
        <w:t>T</w:t>
      </w:r>
      <w:r w:rsidR="002D1D71" w:rsidRPr="00702533">
        <w:rPr>
          <w:rFonts w:ascii="Verdana" w:hAnsi="Verdana"/>
          <w:bCs/>
          <w:color w:val="auto"/>
          <w:sz w:val="20"/>
          <w:szCs w:val="20"/>
        </w:rPr>
        <w:t>he prescriber should b</w:t>
      </w:r>
      <w:r w:rsidR="001E2739">
        <w:rPr>
          <w:rFonts w:ascii="Verdana" w:hAnsi="Verdana"/>
          <w:bCs/>
          <w:color w:val="auto"/>
          <w:sz w:val="20"/>
          <w:szCs w:val="20"/>
        </w:rPr>
        <w:t>e</w:t>
      </w:r>
      <w:r>
        <w:rPr>
          <w:rFonts w:ascii="Verdana" w:hAnsi="Verdana"/>
          <w:bCs/>
          <w:color w:val="auto"/>
          <w:sz w:val="20"/>
          <w:szCs w:val="20"/>
        </w:rPr>
        <w:t xml:space="preserve"> informed that the medicine</w:t>
      </w:r>
      <w:r w:rsidR="002D1D71" w:rsidRPr="00702533">
        <w:rPr>
          <w:rFonts w:ascii="Verdana" w:hAnsi="Verdana"/>
          <w:bCs/>
          <w:color w:val="auto"/>
          <w:sz w:val="20"/>
          <w:szCs w:val="20"/>
        </w:rPr>
        <w:t xml:space="preserve"> is not in the CT</w:t>
      </w:r>
      <w:r w:rsidR="002D1D71">
        <w:rPr>
          <w:rFonts w:ascii="Verdana" w:hAnsi="Verdana"/>
          <w:bCs/>
          <w:color w:val="auto"/>
          <w:sz w:val="20"/>
          <w:szCs w:val="20"/>
        </w:rPr>
        <w:t>MUHB formulary and t</w:t>
      </w:r>
      <w:r w:rsidR="002D1D71" w:rsidRPr="00702533">
        <w:rPr>
          <w:rFonts w:ascii="Verdana" w:hAnsi="Verdana"/>
          <w:bCs/>
          <w:color w:val="auto"/>
          <w:sz w:val="20"/>
          <w:szCs w:val="20"/>
        </w:rPr>
        <w:t xml:space="preserve">he suitability for switching to an appropriate </w:t>
      </w:r>
      <w:r w:rsidR="002D1D71">
        <w:rPr>
          <w:rFonts w:ascii="Verdana" w:hAnsi="Verdana"/>
          <w:bCs/>
          <w:color w:val="auto"/>
          <w:sz w:val="20"/>
          <w:szCs w:val="20"/>
        </w:rPr>
        <w:t xml:space="preserve">formulary alternative </w:t>
      </w:r>
      <w:r w:rsidR="002D1D71" w:rsidRPr="00702533">
        <w:rPr>
          <w:rFonts w:ascii="Verdana" w:hAnsi="Verdana"/>
          <w:bCs/>
          <w:color w:val="auto"/>
          <w:sz w:val="20"/>
          <w:szCs w:val="20"/>
        </w:rPr>
        <w:t>discussed.</w:t>
      </w:r>
    </w:p>
    <w:p w:rsidR="002D1D71" w:rsidRPr="00702533" w:rsidRDefault="002D1D71" w:rsidP="002D1D71">
      <w:pPr>
        <w:rPr>
          <w:rFonts w:ascii="Verdana" w:hAnsi="Verdana"/>
          <w:bCs/>
          <w:sz w:val="20"/>
          <w:szCs w:val="20"/>
        </w:rPr>
      </w:pPr>
      <w:r w:rsidRPr="00702533">
        <w:rPr>
          <w:rFonts w:ascii="Verdana" w:hAnsi="Verdana"/>
          <w:sz w:val="20"/>
          <w:szCs w:val="20"/>
        </w:rPr>
        <w:t>If there is no sui</w:t>
      </w:r>
      <w:r>
        <w:rPr>
          <w:rFonts w:ascii="Verdana" w:hAnsi="Verdana"/>
          <w:sz w:val="20"/>
          <w:szCs w:val="20"/>
        </w:rPr>
        <w:t>table formulary alternative, a</w:t>
      </w:r>
      <w:r w:rsidR="00663C1C">
        <w:rPr>
          <w:rFonts w:ascii="Verdana" w:hAnsi="Verdana"/>
          <w:b/>
          <w:color w:val="0070C0"/>
          <w:sz w:val="20"/>
          <w:szCs w:val="20"/>
        </w:rPr>
        <w:t xml:space="preserve"> </w:t>
      </w:r>
      <w:r w:rsidR="00663C1C" w:rsidRPr="00663C1C">
        <w:rPr>
          <w:rFonts w:ascii="Verdana" w:hAnsi="Verdana"/>
          <w:sz w:val="20"/>
          <w:szCs w:val="20"/>
        </w:rPr>
        <w:t>NF</w:t>
      </w:r>
      <w:r w:rsidRPr="00663C1C">
        <w:rPr>
          <w:rFonts w:ascii="Verdana" w:hAnsi="Verdana"/>
          <w:sz w:val="20"/>
          <w:szCs w:val="20"/>
        </w:rPr>
        <w:t xml:space="preserve"> Medicine </w:t>
      </w:r>
      <w:r>
        <w:rPr>
          <w:rFonts w:ascii="Verdana" w:hAnsi="Verdana"/>
          <w:sz w:val="20"/>
          <w:szCs w:val="20"/>
        </w:rPr>
        <w:t>request form should be completed by the Prescriber and authorised by a</w:t>
      </w:r>
      <w:r w:rsidR="00D2199D">
        <w:rPr>
          <w:rFonts w:ascii="Verdana" w:hAnsi="Verdana"/>
          <w:sz w:val="20"/>
          <w:szCs w:val="20"/>
        </w:rPr>
        <w:t xml:space="preserve"> Senior Pharmacist</w:t>
      </w:r>
      <w:r w:rsidR="006F69EB">
        <w:rPr>
          <w:rFonts w:ascii="Verdana" w:hAnsi="Verdana"/>
          <w:sz w:val="20"/>
          <w:szCs w:val="20"/>
        </w:rPr>
        <w:t xml:space="preserve"> (Team Leader or equivalent)</w:t>
      </w:r>
      <w:r w:rsidRPr="00702533">
        <w:rPr>
          <w:rFonts w:ascii="Verdana" w:hAnsi="Verdana"/>
          <w:sz w:val="20"/>
          <w:szCs w:val="20"/>
        </w:rPr>
        <w:t>. The non-formulary medicine should be ordered and arrangements made for the patient to receive the medication at a later date.</w:t>
      </w:r>
    </w:p>
    <w:p w:rsidR="002D1D71" w:rsidRPr="00702533" w:rsidRDefault="002D1D71" w:rsidP="002D1D71">
      <w:pPr>
        <w:rPr>
          <w:rFonts w:ascii="Verdana" w:hAnsi="Verdana"/>
          <w:bCs/>
          <w:sz w:val="20"/>
          <w:szCs w:val="20"/>
        </w:rPr>
      </w:pPr>
    </w:p>
    <w:p w:rsidR="002D1D71" w:rsidRPr="00934EBE" w:rsidRDefault="002D1D71" w:rsidP="002D1D71">
      <w:pPr>
        <w:pStyle w:val="CommentText"/>
        <w:rPr>
          <w:rFonts w:ascii="Verdana" w:hAnsi="Verdana"/>
        </w:rPr>
      </w:pPr>
      <w:r w:rsidRPr="00934EBE">
        <w:rPr>
          <w:rFonts w:ascii="Verdana" w:hAnsi="Verdana"/>
        </w:rPr>
        <w:t xml:space="preserve">GPs should </w:t>
      </w:r>
      <w:r w:rsidRPr="00934EBE">
        <w:rPr>
          <w:rFonts w:ascii="Verdana" w:hAnsi="Verdana"/>
          <w:b/>
        </w:rPr>
        <w:t>not</w:t>
      </w:r>
      <w:r w:rsidRPr="00934EBE">
        <w:rPr>
          <w:rFonts w:ascii="Verdana" w:hAnsi="Verdana"/>
        </w:rPr>
        <w:t xml:space="preserve"> be as</w:t>
      </w:r>
      <w:r w:rsidR="00663C1C">
        <w:rPr>
          <w:rFonts w:ascii="Verdana" w:hAnsi="Verdana"/>
        </w:rPr>
        <w:t>ked to prescribe NF</w:t>
      </w:r>
      <w:r w:rsidRPr="00934EBE">
        <w:rPr>
          <w:rFonts w:ascii="Verdana" w:hAnsi="Verdana"/>
        </w:rPr>
        <w:t xml:space="preserve"> items as an alternative to completing a non-formulary form, as the formulary also applies to </w:t>
      </w:r>
      <w:r>
        <w:rPr>
          <w:rFonts w:ascii="Verdana" w:hAnsi="Verdana"/>
        </w:rPr>
        <w:t>Primary C</w:t>
      </w:r>
      <w:r w:rsidRPr="00934EBE">
        <w:rPr>
          <w:rFonts w:ascii="Verdana" w:hAnsi="Verdana"/>
        </w:rPr>
        <w:t>are and this may result in a delay in the patient receiving their medication.</w:t>
      </w:r>
    </w:p>
    <w:p w:rsidR="002D1D71" w:rsidRDefault="002D1D71" w:rsidP="002D1D71">
      <w:pPr>
        <w:rPr>
          <w:rFonts w:ascii="Verdana" w:hAnsi="Verdana"/>
          <w:bCs/>
          <w:sz w:val="22"/>
          <w:szCs w:val="22"/>
        </w:rPr>
      </w:pPr>
    </w:p>
    <w:p w:rsidR="002D1D71" w:rsidRDefault="002D1D71" w:rsidP="002D1D71">
      <w:pPr>
        <w:rPr>
          <w:rFonts w:ascii="Verdana" w:hAnsi="Verdana"/>
          <w:b/>
          <w:bCs/>
          <w:sz w:val="20"/>
          <w:szCs w:val="20"/>
        </w:rPr>
      </w:pPr>
      <w:r w:rsidRPr="00041049">
        <w:rPr>
          <w:rFonts w:ascii="Verdana" w:hAnsi="Verdana"/>
          <w:b/>
          <w:bCs/>
          <w:sz w:val="20"/>
          <w:szCs w:val="20"/>
        </w:rPr>
        <w:t xml:space="preserve">Applications to add new medicines to the CTM Formulary can be made via the email links on the home page of the CTM Inform Formulary (accessed via the Medicines Management page on </w:t>
      </w:r>
      <w:proofErr w:type="spellStart"/>
      <w:r w:rsidRPr="00041049">
        <w:rPr>
          <w:rFonts w:ascii="Verdana" w:hAnsi="Verdana"/>
          <w:b/>
          <w:bCs/>
          <w:sz w:val="20"/>
          <w:szCs w:val="20"/>
        </w:rPr>
        <w:t>Sharepoint</w:t>
      </w:r>
      <w:proofErr w:type="spellEnd"/>
      <w:r w:rsidRPr="00041049">
        <w:rPr>
          <w:rFonts w:ascii="Verdana" w:hAnsi="Verdana"/>
          <w:b/>
          <w:bCs/>
          <w:sz w:val="20"/>
          <w:szCs w:val="20"/>
        </w:rPr>
        <w:t>)</w:t>
      </w:r>
    </w:p>
    <w:p w:rsidR="00C564E7" w:rsidRDefault="00C564E7" w:rsidP="002D1D71">
      <w:pPr>
        <w:rPr>
          <w:rFonts w:ascii="Verdana" w:hAnsi="Verdana"/>
          <w:b/>
          <w:bCs/>
          <w:sz w:val="20"/>
          <w:szCs w:val="20"/>
        </w:rPr>
      </w:pPr>
    </w:p>
    <w:p w:rsidR="00C564E7" w:rsidRPr="004149F1" w:rsidRDefault="00C564E7" w:rsidP="002D1D71">
      <w:pPr>
        <w:rPr>
          <w:rFonts w:ascii="Verdana" w:hAnsi="Verdana"/>
          <w:bCs/>
          <w:color w:val="1F4E79" w:themeColor="accent1" w:themeShade="80"/>
          <w:sz w:val="20"/>
          <w:szCs w:val="20"/>
        </w:rPr>
      </w:pPr>
      <w:r w:rsidRPr="004149F1">
        <w:rPr>
          <w:rFonts w:ascii="Verdana" w:hAnsi="Verdana"/>
          <w:b/>
          <w:bCs/>
          <w:color w:val="1F4E79" w:themeColor="accent1" w:themeShade="80"/>
          <w:sz w:val="20"/>
          <w:szCs w:val="20"/>
        </w:rPr>
        <w:t xml:space="preserve">Unlicensed Medicines – </w:t>
      </w:r>
      <w:r w:rsidRPr="004149F1">
        <w:rPr>
          <w:rFonts w:ascii="Verdana" w:hAnsi="Verdana"/>
          <w:bCs/>
          <w:color w:val="1F4E79" w:themeColor="accent1" w:themeShade="80"/>
          <w:sz w:val="20"/>
          <w:szCs w:val="20"/>
        </w:rPr>
        <w:t>Separate procedures are followed for unlicensed medicines</w:t>
      </w:r>
      <w:r w:rsidR="00057110" w:rsidRPr="004149F1">
        <w:rPr>
          <w:rFonts w:ascii="Verdana" w:hAnsi="Verdana"/>
          <w:bCs/>
          <w:color w:val="1F4E79" w:themeColor="accent1" w:themeShade="80"/>
          <w:sz w:val="20"/>
          <w:szCs w:val="20"/>
        </w:rPr>
        <w:t xml:space="preserve"> and medicines used “off-label”</w:t>
      </w:r>
      <w:r w:rsidRPr="004149F1">
        <w:rPr>
          <w:rFonts w:ascii="Verdana" w:hAnsi="Verdana"/>
          <w:bCs/>
          <w:color w:val="1F4E79" w:themeColor="accent1" w:themeShade="80"/>
          <w:sz w:val="20"/>
          <w:szCs w:val="20"/>
        </w:rPr>
        <w:t>. Contact th</w:t>
      </w:r>
      <w:r w:rsidR="00057110" w:rsidRPr="004149F1">
        <w:rPr>
          <w:rFonts w:ascii="Verdana" w:hAnsi="Verdana"/>
          <w:bCs/>
          <w:color w:val="1F4E79" w:themeColor="accent1" w:themeShade="80"/>
          <w:sz w:val="20"/>
          <w:szCs w:val="20"/>
        </w:rPr>
        <w:t>e</w:t>
      </w:r>
      <w:r w:rsidR="0053466A" w:rsidRPr="004149F1">
        <w:rPr>
          <w:rFonts w:ascii="Verdana" w:hAnsi="Verdana"/>
          <w:bCs/>
          <w:color w:val="1F4E79" w:themeColor="accent1" w:themeShade="80"/>
          <w:sz w:val="20"/>
          <w:szCs w:val="20"/>
        </w:rPr>
        <w:t xml:space="preserve"> Pharmacy Logistics</w:t>
      </w:r>
      <w:r w:rsidRPr="004149F1">
        <w:rPr>
          <w:rFonts w:ascii="Verdana" w:hAnsi="Verdana"/>
          <w:bCs/>
          <w:color w:val="1F4E79" w:themeColor="accent1" w:themeShade="80"/>
          <w:sz w:val="20"/>
          <w:szCs w:val="20"/>
        </w:rPr>
        <w:t xml:space="preserve"> team for appropriate application forms</w:t>
      </w:r>
    </w:p>
    <w:p w:rsidR="002D1D71" w:rsidRPr="00702533" w:rsidRDefault="002D1D71" w:rsidP="002D1D71">
      <w:pPr>
        <w:rPr>
          <w:rFonts w:ascii="Verdana" w:hAnsi="Verdana"/>
          <w:bCs/>
          <w:sz w:val="22"/>
          <w:szCs w:val="22"/>
        </w:rPr>
      </w:pPr>
    </w:p>
    <w:p w:rsidR="002D1D71" w:rsidRPr="000128FB" w:rsidRDefault="002D1D71" w:rsidP="002D1D71">
      <w:pPr>
        <w:rPr>
          <w:rFonts w:ascii="Verdana" w:hAnsi="Verdana"/>
          <w:b/>
          <w:bCs/>
          <w:sz w:val="22"/>
          <w:szCs w:val="22"/>
        </w:rPr>
      </w:pPr>
      <w:r w:rsidRPr="00702533">
        <w:rPr>
          <w:rFonts w:ascii="Verdana" w:hAnsi="Verdana"/>
          <w:b/>
          <w:bCs/>
          <w:sz w:val="22"/>
          <w:szCs w:val="22"/>
        </w:rPr>
        <w:t>Role of the Pharmacy Logistics Team</w:t>
      </w:r>
    </w:p>
    <w:p w:rsidR="002D1D71" w:rsidRPr="00702533" w:rsidRDefault="002D1D71" w:rsidP="002D1D71">
      <w:pPr>
        <w:pStyle w:val="pshangout"/>
        <w:ind w:firstLine="0"/>
        <w:jc w:val="both"/>
        <w:rPr>
          <w:rFonts w:ascii="Verdana" w:hAnsi="Verdana"/>
          <w:color w:val="auto"/>
          <w:sz w:val="20"/>
          <w:szCs w:val="20"/>
        </w:rPr>
      </w:pPr>
      <w:r>
        <w:rPr>
          <w:rFonts w:ascii="Verdana" w:hAnsi="Verdana"/>
          <w:color w:val="auto"/>
          <w:sz w:val="20"/>
          <w:szCs w:val="20"/>
        </w:rPr>
        <w:t>The non-formulary medicine</w:t>
      </w:r>
      <w:r w:rsidRPr="00702533">
        <w:rPr>
          <w:rFonts w:ascii="Verdana" w:hAnsi="Verdana"/>
          <w:color w:val="auto"/>
          <w:sz w:val="20"/>
          <w:szCs w:val="20"/>
        </w:rPr>
        <w:t xml:space="preserve"> will be supplied </w:t>
      </w:r>
      <w:r w:rsidR="00005DE2">
        <w:rPr>
          <w:rFonts w:ascii="Verdana" w:hAnsi="Verdana"/>
          <w:b/>
          <w:bCs/>
          <w:color w:val="auto"/>
          <w:sz w:val="20"/>
          <w:szCs w:val="20"/>
        </w:rPr>
        <w:t>only</w:t>
      </w:r>
      <w:r w:rsidRPr="00702533">
        <w:rPr>
          <w:rFonts w:ascii="Verdana" w:hAnsi="Verdana"/>
          <w:color w:val="auto"/>
          <w:sz w:val="20"/>
          <w:szCs w:val="20"/>
        </w:rPr>
        <w:t xml:space="preserve"> on receipt of the appropriate paperwork</w:t>
      </w:r>
      <w:r>
        <w:rPr>
          <w:rFonts w:ascii="Verdana" w:hAnsi="Verdana"/>
          <w:color w:val="auto"/>
          <w:sz w:val="20"/>
          <w:szCs w:val="20"/>
        </w:rPr>
        <w:t xml:space="preserve"> (</w:t>
      </w:r>
      <w:proofErr w:type="spellStart"/>
      <w:r>
        <w:rPr>
          <w:rFonts w:ascii="Verdana" w:hAnsi="Verdana"/>
          <w:color w:val="auto"/>
          <w:sz w:val="20"/>
          <w:szCs w:val="20"/>
        </w:rPr>
        <w:t>i.e</w:t>
      </w:r>
      <w:proofErr w:type="spellEnd"/>
      <w:r>
        <w:rPr>
          <w:rFonts w:ascii="Verdana" w:hAnsi="Verdana"/>
          <w:color w:val="auto"/>
          <w:sz w:val="20"/>
          <w:szCs w:val="20"/>
        </w:rPr>
        <w:t xml:space="preserve"> an order form or prescription plus this form)</w:t>
      </w:r>
      <w:r w:rsidRPr="00702533">
        <w:rPr>
          <w:rFonts w:ascii="Verdana" w:hAnsi="Verdana"/>
          <w:color w:val="auto"/>
          <w:sz w:val="20"/>
          <w:szCs w:val="20"/>
        </w:rPr>
        <w:t xml:space="preserve">. Failure to provide this will result in the supply of medication being delayed until the </w:t>
      </w:r>
      <w:r>
        <w:rPr>
          <w:rFonts w:ascii="Verdana" w:hAnsi="Verdana"/>
          <w:color w:val="auto"/>
          <w:sz w:val="20"/>
          <w:szCs w:val="20"/>
        </w:rPr>
        <w:t>paperwork is received unless there would be</w:t>
      </w:r>
      <w:r w:rsidRPr="00702533">
        <w:rPr>
          <w:rFonts w:ascii="Verdana" w:hAnsi="Verdana"/>
          <w:color w:val="auto"/>
          <w:sz w:val="20"/>
          <w:szCs w:val="20"/>
        </w:rPr>
        <w:t xml:space="preserve"> immediate and significant risk to patient safety</w:t>
      </w:r>
      <w:r>
        <w:rPr>
          <w:rFonts w:ascii="Verdana" w:hAnsi="Verdana"/>
          <w:color w:val="auto"/>
          <w:sz w:val="20"/>
          <w:szCs w:val="20"/>
        </w:rPr>
        <w:t xml:space="preserve"> </w:t>
      </w:r>
      <w:r w:rsidRPr="00702533">
        <w:rPr>
          <w:rFonts w:ascii="Verdana" w:hAnsi="Verdana"/>
          <w:color w:val="auto"/>
          <w:sz w:val="20"/>
          <w:szCs w:val="20"/>
        </w:rPr>
        <w:t xml:space="preserve">by not supplying the item. </w:t>
      </w:r>
    </w:p>
    <w:p w:rsidR="002D1D71" w:rsidRPr="00702533" w:rsidRDefault="002D1D71" w:rsidP="002D1D71">
      <w:pPr>
        <w:pStyle w:val="pshangout"/>
        <w:ind w:firstLine="0"/>
        <w:rPr>
          <w:rFonts w:ascii="Verdana" w:hAnsi="Verdana"/>
          <w:color w:val="auto"/>
          <w:sz w:val="20"/>
          <w:szCs w:val="20"/>
        </w:rPr>
      </w:pPr>
      <w:r w:rsidRPr="00702533">
        <w:rPr>
          <w:rFonts w:ascii="Verdana" w:hAnsi="Verdana"/>
          <w:color w:val="auto"/>
          <w:sz w:val="20"/>
          <w:szCs w:val="20"/>
        </w:rPr>
        <w:t>Logistics may query forms or refer forms to a team leader for advice if:</w:t>
      </w:r>
    </w:p>
    <w:p w:rsidR="002D1D71" w:rsidRPr="00702533" w:rsidRDefault="002D1D71" w:rsidP="002D1D71">
      <w:pPr>
        <w:pStyle w:val="pshangout"/>
        <w:numPr>
          <w:ilvl w:val="0"/>
          <w:numId w:val="1"/>
        </w:numPr>
        <w:rPr>
          <w:rFonts w:ascii="Verdana" w:hAnsi="Verdana"/>
          <w:color w:val="auto"/>
          <w:sz w:val="20"/>
          <w:szCs w:val="20"/>
        </w:rPr>
      </w:pPr>
      <w:r>
        <w:rPr>
          <w:rFonts w:ascii="Verdana" w:hAnsi="Verdana"/>
          <w:color w:val="auto"/>
          <w:sz w:val="20"/>
          <w:szCs w:val="20"/>
        </w:rPr>
        <w:t>F</w:t>
      </w:r>
      <w:r w:rsidRPr="00702533">
        <w:rPr>
          <w:rFonts w:ascii="Verdana" w:hAnsi="Verdana"/>
          <w:color w:val="auto"/>
          <w:sz w:val="20"/>
          <w:szCs w:val="20"/>
        </w:rPr>
        <w:t xml:space="preserve">orms have not been completed sufficiently </w:t>
      </w:r>
    </w:p>
    <w:p w:rsidR="002D1D71" w:rsidRPr="00702533" w:rsidRDefault="002D1D71" w:rsidP="002D1D71">
      <w:pPr>
        <w:pStyle w:val="pshangout"/>
        <w:numPr>
          <w:ilvl w:val="0"/>
          <w:numId w:val="1"/>
        </w:numPr>
        <w:rPr>
          <w:rFonts w:ascii="Verdana" w:hAnsi="Verdana"/>
          <w:color w:val="auto"/>
          <w:sz w:val="20"/>
          <w:szCs w:val="20"/>
        </w:rPr>
      </w:pPr>
      <w:r w:rsidRPr="00702533">
        <w:rPr>
          <w:rFonts w:ascii="Verdana" w:hAnsi="Verdana"/>
          <w:color w:val="auto"/>
          <w:sz w:val="20"/>
          <w:szCs w:val="20"/>
        </w:rPr>
        <w:t>High cost items are requested</w:t>
      </w:r>
    </w:p>
    <w:p w:rsidR="002D1D71" w:rsidRPr="00702533" w:rsidRDefault="002D1D71" w:rsidP="002D1D71">
      <w:pPr>
        <w:pStyle w:val="pshangout"/>
        <w:numPr>
          <w:ilvl w:val="0"/>
          <w:numId w:val="1"/>
        </w:numPr>
        <w:rPr>
          <w:rFonts w:ascii="Verdana" w:hAnsi="Verdana"/>
          <w:color w:val="auto"/>
          <w:sz w:val="20"/>
          <w:szCs w:val="20"/>
        </w:rPr>
      </w:pPr>
      <w:r>
        <w:rPr>
          <w:rFonts w:ascii="Verdana" w:hAnsi="Verdana"/>
          <w:color w:val="auto"/>
          <w:sz w:val="20"/>
          <w:szCs w:val="20"/>
        </w:rPr>
        <w:t>T</w:t>
      </w:r>
      <w:r w:rsidRPr="00702533">
        <w:rPr>
          <w:rFonts w:ascii="Verdana" w:hAnsi="Verdana"/>
          <w:color w:val="auto"/>
          <w:sz w:val="20"/>
          <w:szCs w:val="20"/>
        </w:rPr>
        <w:t xml:space="preserve">here is potentially a similar product on formulary. </w:t>
      </w:r>
    </w:p>
    <w:p w:rsidR="002D1D71" w:rsidRPr="00702533" w:rsidRDefault="002D1D71" w:rsidP="002D1D71">
      <w:pPr>
        <w:pStyle w:val="pshangout"/>
        <w:numPr>
          <w:ilvl w:val="0"/>
          <w:numId w:val="1"/>
        </w:numPr>
        <w:rPr>
          <w:rFonts w:asciiTheme="minorHAnsi" w:hAnsiTheme="minorHAnsi"/>
          <w:color w:val="auto"/>
          <w:sz w:val="20"/>
          <w:szCs w:val="20"/>
        </w:rPr>
      </w:pPr>
      <w:r>
        <w:rPr>
          <w:rFonts w:ascii="Verdana" w:hAnsi="Verdana"/>
          <w:color w:val="auto"/>
          <w:sz w:val="20"/>
          <w:szCs w:val="20"/>
        </w:rPr>
        <w:t>T</w:t>
      </w:r>
      <w:r w:rsidRPr="00702533">
        <w:rPr>
          <w:rFonts w:ascii="Verdana" w:hAnsi="Verdana"/>
          <w:color w:val="auto"/>
          <w:sz w:val="20"/>
          <w:szCs w:val="20"/>
        </w:rPr>
        <w:t xml:space="preserve">he request is for a “non-pharmacy” item e.g. appliances / devices etc. </w:t>
      </w:r>
    </w:p>
    <w:p w:rsidR="002D1D71" w:rsidRDefault="002D1D71" w:rsidP="002D1D71">
      <w:pPr>
        <w:rPr>
          <w:rFonts w:asciiTheme="minorHAnsi" w:hAnsiTheme="minorHAnsi"/>
        </w:rPr>
      </w:pPr>
    </w:p>
    <w:p w:rsidR="002D1D71" w:rsidRPr="001E2739" w:rsidRDefault="002D1D71" w:rsidP="002D1D71">
      <w:pPr>
        <w:rPr>
          <w:rFonts w:ascii="Verdana" w:hAnsi="Verdana"/>
          <w:b/>
          <w:sz w:val="22"/>
          <w:szCs w:val="22"/>
        </w:rPr>
      </w:pPr>
      <w:r>
        <w:rPr>
          <w:rFonts w:ascii="Verdana" w:hAnsi="Verdana"/>
          <w:b/>
          <w:sz w:val="22"/>
          <w:szCs w:val="22"/>
        </w:rPr>
        <w:t xml:space="preserve">Logistics – </w:t>
      </w:r>
      <w:r w:rsidRPr="00A36996">
        <w:rPr>
          <w:rFonts w:ascii="Verdana" w:hAnsi="Verdana"/>
          <w:sz w:val="22"/>
          <w:szCs w:val="22"/>
        </w:rPr>
        <w:t>subsequent supplies</w:t>
      </w:r>
      <w:r>
        <w:rPr>
          <w:rFonts w:ascii="Verdana" w:hAnsi="Verdana"/>
          <w:b/>
          <w:sz w:val="22"/>
          <w:szCs w:val="22"/>
        </w:rPr>
        <w:t>:</w:t>
      </w:r>
    </w:p>
    <w:tbl>
      <w:tblPr>
        <w:tblStyle w:val="TableGrid"/>
        <w:tblW w:w="0" w:type="auto"/>
        <w:tblLook w:val="04A0" w:firstRow="1" w:lastRow="0" w:firstColumn="1" w:lastColumn="0" w:noHBand="0" w:noVBand="1"/>
      </w:tblPr>
      <w:tblGrid>
        <w:gridCol w:w="2614"/>
        <w:gridCol w:w="2614"/>
        <w:gridCol w:w="2614"/>
        <w:gridCol w:w="2614"/>
      </w:tblGrid>
      <w:tr w:rsidR="002D1D71" w:rsidTr="00374EB4">
        <w:tc>
          <w:tcPr>
            <w:tcW w:w="2614" w:type="dxa"/>
          </w:tcPr>
          <w:p w:rsidR="002D1D71" w:rsidRPr="00702533" w:rsidRDefault="002D1D71" w:rsidP="00374EB4">
            <w:pPr>
              <w:rPr>
                <w:rFonts w:asciiTheme="minorHAnsi" w:hAnsiTheme="minorHAnsi"/>
                <w:b/>
              </w:rPr>
            </w:pPr>
            <w:r w:rsidRPr="00702533">
              <w:rPr>
                <w:rFonts w:asciiTheme="minorHAnsi" w:hAnsiTheme="minorHAnsi"/>
                <w:b/>
              </w:rPr>
              <w:t>Date</w:t>
            </w:r>
          </w:p>
        </w:tc>
        <w:tc>
          <w:tcPr>
            <w:tcW w:w="2614" w:type="dxa"/>
          </w:tcPr>
          <w:p w:rsidR="002D1D71" w:rsidRPr="00702533" w:rsidRDefault="002D1D71" w:rsidP="00374EB4">
            <w:pPr>
              <w:rPr>
                <w:rFonts w:asciiTheme="minorHAnsi" w:hAnsiTheme="minorHAnsi"/>
                <w:b/>
              </w:rPr>
            </w:pPr>
            <w:r w:rsidRPr="00702533">
              <w:rPr>
                <w:rFonts w:asciiTheme="minorHAnsi" w:hAnsiTheme="minorHAnsi"/>
                <w:b/>
              </w:rPr>
              <w:t>Quantity</w:t>
            </w:r>
          </w:p>
        </w:tc>
        <w:tc>
          <w:tcPr>
            <w:tcW w:w="2614" w:type="dxa"/>
          </w:tcPr>
          <w:p w:rsidR="002D1D71" w:rsidRPr="00702533" w:rsidRDefault="002D1D71" w:rsidP="00374EB4">
            <w:pPr>
              <w:rPr>
                <w:rFonts w:asciiTheme="minorHAnsi" w:hAnsiTheme="minorHAnsi"/>
                <w:b/>
              </w:rPr>
            </w:pPr>
            <w:r w:rsidRPr="00702533">
              <w:rPr>
                <w:rFonts w:asciiTheme="minorHAnsi" w:hAnsiTheme="minorHAnsi"/>
                <w:b/>
              </w:rPr>
              <w:t>Supplier</w:t>
            </w:r>
          </w:p>
        </w:tc>
        <w:tc>
          <w:tcPr>
            <w:tcW w:w="2614" w:type="dxa"/>
          </w:tcPr>
          <w:p w:rsidR="002D1D71" w:rsidRPr="00702533" w:rsidRDefault="002D1D71" w:rsidP="00374EB4">
            <w:pPr>
              <w:rPr>
                <w:rFonts w:asciiTheme="minorHAnsi" w:hAnsiTheme="minorHAnsi"/>
                <w:b/>
              </w:rPr>
            </w:pPr>
            <w:r w:rsidRPr="00702533">
              <w:rPr>
                <w:rFonts w:asciiTheme="minorHAnsi" w:hAnsiTheme="minorHAnsi"/>
                <w:b/>
              </w:rPr>
              <w:t>Ordered by:</w:t>
            </w:r>
          </w:p>
        </w:tc>
      </w:tr>
      <w:tr w:rsidR="002D1D71" w:rsidTr="00374EB4">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r>
      <w:tr w:rsidR="002D1D71" w:rsidTr="00374EB4">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r>
      <w:tr w:rsidR="002D1D71" w:rsidTr="00374EB4">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r>
      <w:tr w:rsidR="002D1D71" w:rsidTr="00374EB4">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c>
          <w:tcPr>
            <w:tcW w:w="2614" w:type="dxa"/>
          </w:tcPr>
          <w:p w:rsidR="002D1D71" w:rsidRDefault="002D1D71" w:rsidP="00374EB4">
            <w:pPr>
              <w:rPr>
                <w:rFonts w:asciiTheme="minorHAnsi" w:hAnsiTheme="minorHAnsi"/>
              </w:rPr>
            </w:pPr>
          </w:p>
        </w:tc>
      </w:tr>
    </w:tbl>
    <w:p w:rsidR="005234F3" w:rsidRDefault="005234F3" w:rsidP="006E3760">
      <w:pPr>
        <w:rPr>
          <w:rFonts w:ascii="Verdana" w:hAnsi="Verdana"/>
          <w:b/>
          <w:sz w:val="22"/>
          <w:szCs w:val="22"/>
        </w:rPr>
      </w:pPr>
    </w:p>
    <w:sectPr w:rsidR="005234F3" w:rsidSect="00EC09FB">
      <w:footerReference w:type="default" r:id="rId8"/>
      <w:pgSz w:w="11906" w:h="16838"/>
      <w:pgMar w:top="45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87A" w:rsidRDefault="0079787A">
      <w:r>
        <w:separator/>
      </w:r>
    </w:p>
  </w:endnote>
  <w:endnote w:type="continuationSeparator" w:id="0">
    <w:p w:rsidR="0079787A" w:rsidRDefault="0079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C5B" w:rsidRPr="00DB2C5B" w:rsidRDefault="00DB2C5B">
    <w:pPr>
      <w:pStyle w:val="Footer"/>
      <w:rPr>
        <w:rFonts w:ascii="Verdana" w:hAnsi="Verdana"/>
        <w:sz w:val="16"/>
        <w:szCs w:val="16"/>
      </w:rPr>
    </w:pPr>
    <w:r w:rsidRPr="00DB2C5B">
      <w:rPr>
        <w:rFonts w:ascii="Verdana" w:hAnsi="Verdana"/>
        <w:sz w:val="16"/>
        <w:szCs w:val="16"/>
      </w:rPr>
      <w:t>Medicines Managemen</w:t>
    </w:r>
    <w:r w:rsidR="00C47E3B">
      <w:rPr>
        <w:rFonts w:ascii="Verdana" w:hAnsi="Verdana"/>
        <w:sz w:val="16"/>
        <w:szCs w:val="16"/>
      </w:rPr>
      <w:t>t</w:t>
    </w:r>
    <w:r w:rsidR="006E3760">
      <w:rPr>
        <w:rFonts w:ascii="Verdana" w:hAnsi="Verdana"/>
        <w:sz w:val="16"/>
        <w:szCs w:val="16"/>
      </w:rPr>
      <w:t xml:space="preserve"> and Expenditure Com</w:t>
    </w:r>
    <w:r w:rsidR="0053466A">
      <w:rPr>
        <w:rFonts w:ascii="Verdana" w:hAnsi="Verdana"/>
        <w:sz w:val="16"/>
        <w:szCs w:val="16"/>
      </w:rPr>
      <w:t>mittee May</w:t>
    </w:r>
    <w:r w:rsidR="007B5D5B">
      <w:rPr>
        <w:rFonts w:ascii="Verdana" w:hAnsi="Verdana"/>
        <w:sz w:val="16"/>
        <w:szCs w:val="16"/>
      </w:rPr>
      <w:t xml:space="preserve"> 2022</w:t>
    </w:r>
  </w:p>
  <w:p w:rsidR="00325461" w:rsidRPr="00E33F9A" w:rsidRDefault="00325461" w:rsidP="00325461">
    <w:pPr>
      <w:pStyle w:val="Footer"/>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87A" w:rsidRDefault="0079787A">
      <w:r>
        <w:separator/>
      </w:r>
    </w:p>
  </w:footnote>
  <w:footnote w:type="continuationSeparator" w:id="0">
    <w:p w:rsidR="0079787A" w:rsidRDefault="0079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32B39"/>
    <w:multiLevelType w:val="hybridMultilevel"/>
    <w:tmpl w:val="32E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DA"/>
    <w:rsid w:val="00005DE2"/>
    <w:rsid w:val="00057110"/>
    <w:rsid w:val="00086719"/>
    <w:rsid w:val="000E1A86"/>
    <w:rsid w:val="000F1F1B"/>
    <w:rsid w:val="000F5940"/>
    <w:rsid w:val="00132E2A"/>
    <w:rsid w:val="00150A1A"/>
    <w:rsid w:val="00171091"/>
    <w:rsid w:val="001A3C92"/>
    <w:rsid w:val="001D62E8"/>
    <w:rsid w:val="001D6898"/>
    <w:rsid w:val="001E0AD2"/>
    <w:rsid w:val="001E2739"/>
    <w:rsid w:val="001E4D32"/>
    <w:rsid w:val="002D1D71"/>
    <w:rsid w:val="002F0B71"/>
    <w:rsid w:val="002F6A87"/>
    <w:rsid w:val="003163BF"/>
    <w:rsid w:val="00325461"/>
    <w:rsid w:val="0035510B"/>
    <w:rsid w:val="00371E42"/>
    <w:rsid w:val="003B408B"/>
    <w:rsid w:val="003D06C0"/>
    <w:rsid w:val="004125EB"/>
    <w:rsid w:val="004149F1"/>
    <w:rsid w:val="00421344"/>
    <w:rsid w:val="00436F25"/>
    <w:rsid w:val="00465BF7"/>
    <w:rsid w:val="004C0B3F"/>
    <w:rsid w:val="005012B7"/>
    <w:rsid w:val="005234F3"/>
    <w:rsid w:val="0053466A"/>
    <w:rsid w:val="00582DB6"/>
    <w:rsid w:val="00592879"/>
    <w:rsid w:val="005A7E41"/>
    <w:rsid w:val="005D7ABD"/>
    <w:rsid w:val="006228DC"/>
    <w:rsid w:val="00643D46"/>
    <w:rsid w:val="00663C1C"/>
    <w:rsid w:val="006A663C"/>
    <w:rsid w:val="006B6E59"/>
    <w:rsid w:val="006E3760"/>
    <w:rsid w:val="006F69EB"/>
    <w:rsid w:val="00702533"/>
    <w:rsid w:val="00727534"/>
    <w:rsid w:val="00783A9F"/>
    <w:rsid w:val="0079787A"/>
    <w:rsid w:val="007B5D5B"/>
    <w:rsid w:val="007B6BF9"/>
    <w:rsid w:val="007D6402"/>
    <w:rsid w:val="008220DA"/>
    <w:rsid w:val="008438D7"/>
    <w:rsid w:val="008E0148"/>
    <w:rsid w:val="00914467"/>
    <w:rsid w:val="009B55A7"/>
    <w:rsid w:val="009D400F"/>
    <w:rsid w:val="009E2844"/>
    <w:rsid w:val="009F294F"/>
    <w:rsid w:val="00A0652A"/>
    <w:rsid w:val="00A1208A"/>
    <w:rsid w:val="00A36996"/>
    <w:rsid w:val="00A67C7E"/>
    <w:rsid w:val="00A97902"/>
    <w:rsid w:val="00AD4EFF"/>
    <w:rsid w:val="00B01E68"/>
    <w:rsid w:val="00B12CF6"/>
    <w:rsid w:val="00B52FB2"/>
    <w:rsid w:val="00B70FA1"/>
    <w:rsid w:val="00BA1E6D"/>
    <w:rsid w:val="00BF4DFD"/>
    <w:rsid w:val="00C162F1"/>
    <w:rsid w:val="00C34AB3"/>
    <w:rsid w:val="00C47E3B"/>
    <w:rsid w:val="00C564E7"/>
    <w:rsid w:val="00C87860"/>
    <w:rsid w:val="00C87D07"/>
    <w:rsid w:val="00CA3E04"/>
    <w:rsid w:val="00D2199D"/>
    <w:rsid w:val="00D33EF8"/>
    <w:rsid w:val="00D46FF6"/>
    <w:rsid w:val="00D536E8"/>
    <w:rsid w:val="00DB2C5B"/>
    <w:rsid w:val="00DD18E4"/>
    <w:rsid w:val="00DE65AF"/>
    <w:rsid w:val="00E420D6"/>
    <w:rsid w:val="00E56357"/>
    <w:rsid w:val="00E57C49"/>
    <w:rsid w:val="00EA3BC7"/>
    <w:rsid w:val="00EC09FB"/>
    <w:rsid w:val="00F15E7C"/>
    <w:rsid w:val="00F41CCC"/>
    <w:rsid w:val="00F66613"/>
    <w:rsid w:val="00FD1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E56F8FC-5F51-4529-8743-74CA8703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DA"/>
    <w:rPr>
      <w:sz w:val="24"/>
      <w:szCs w:val="24"/>
      <w:lang w:eastAsia="en-US"/>
    </w:rPr>
  </w:style>
  <w:style w:type="paragraph" w:styleId="Heading1">
    <w:name w:val="heading 1"/>
    <w:basedOn w:val="Normal"/>
    <w:next w:val="Normal"/>
    <w:qFormat/>
    <w:rsid w:val="008220DA"/>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8220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20DA"/>
    <w:pPr>
      <w:tabs>
        <w:tab w:val="center" w:pos="4153"/>
        <w:tab w:val="right" w:pos="8306"/>
      </w:tabs>
    </w:pPr>
  </w:style>
  <w:style w:type="paragraph" w:styleId="Footer">
    <w:name w:val="footer"/>
    <w:basedOn w:val="Normal"/>
    <w:link w:val="FooterChar"/>
    <w:uiPriority w:val="99"/>
    <w:rsid w:val="008220DA"/>
    <w:pPr>
      <w:tabs>
        <w:tab w:val="center" w:pos="4153"/>
        <w:tab w:val="right" w:pos="8306"/>
      </w:tabs>
    </w:pPr>
  </w:style>
  <w:style w:type="character" w:styleId="PageNumber">
    <w:name w:val="page number"/>
    <w:basedOn w:val="DefaultParagraphFont"/>
    <w:rsid w:val="008220DA"/>
  </w:style>
  <w:style w:type="paragraph" w:styleId="TOC1">
    <w:name w:val="toc 1"/>
    <w:basedOn w:val="Normal"/>
    <w:next w:val="Normal"/>
    <w:autoRedefine/>
    <w:semiHidden/>
    <w:rsid w:val="008220DA"/>
    <w:rPr>
      <w:rFonts w:ascii="Verdana" w:hAnsi="Verdana"/>
      <w:szCs w:val="20"/>
    </w:rPr>
  </w:style>
  <w:style w:type="paragraph" w:customStyle="1" w:styleId="Appendix">
    <w:name w:val="Appendix"/>
    <w:basedOn w:val="Heading1"/>
    <w:rsid w:val="008220DA"/>
    <w:pPr>
      <w:pBdr>
        <w:top w:val="single" w:sz="18" w:space="1" w:color="auto"/>
        <w:left w:val="single" w:sz="18" w:space="4" w:color="auto"/>
        <w:bottom w:val="single" w:sz="18" w:space="1" w:color="auto"/>
        <w:right w:val="single" w:sz="18" w:space="4" w:color="auto"/>
      </w:pBdr>
      <w:tabs>
        <w:tab w:val="left" w:pos="567"/>
      </w:tabs>
      <w:spacing w:before="0"/>
    </w:pPr>
    <w:rPr>
      <w:rFonts w:ascii="Verdana" w:hAnsi="Verdana"/>
      <w:sz w:val="28"/>
    </w:rPr>
  </w:style>
  <w:style w:type="character" w:customStyle="1" w:styleId="FooterChar">
    <w:name w:val="Footer Char"/>
    <w:basedOn w:val="DefaultParagraphFont"/>
    <w:link w:val="Footer"/>
    <w:uiPriority w:val="99"/>
    <w:rsid w:val="00DB2C5B"/>
    <w:rPr>
      <w:sz w:val="24"/>
      <w:szCs w:val="24"/>
      <w:lang w:eastAsia="en-US"/>
    </w:rPr>
  </w:style>
  <w:style w:type="paragraph" w:styleId="BalloonText">
    <w:name w:val="Balloon Text"/>
    <w:basedOn w:val="Normal"/>
    <w:link w:val="BalloonTextChar"/>
    <w:rsid w:val="00914467"/>
    <w:rPr>
      <w:rFonts w:ascii="Segoe UI" w:hAnsi="Segoe UI" w:cs="Segoe UI"/>
      <w:sz w:val="18"/>
      <w:szCs w:val="18"/>
    </w:rPr>
  </w:style>
  <w:style w:type="character" w:customStyle="1" w:styleId="BalloonTextChar">
    <w:name w:val="Balloon Text Char"/>
    <w:basedOn w:val="DefaultParagraphFont"/>
    <w:link w:val="BalloonText"/>
    <w:rsid w:val="00914467"/>
    <w:rPr>
      <w:rFonts w:ascii="Segoe UI" w:hAnsi="Segoe UI" w:cs="Segoe UI"/>
      <w:sz w:val="18"/>
      <w:szCs w:val="18"/>
      <w:lang w:eastAsia="en-US"/>
    </w:rPr>
  </w:style>
  <w:style w:type="paragraph" w:customStyle="1" w:styleId="Default">
    <w:name w:val="Default"/>
    <w:rsid w:val="00436F25"/>
    <w:pPr>
      <w:autoSpaceDE w:val="0"/>
      <w:autoSpaceDN w:val="0"/>
      <w:adjustRightInd w:val="0"/>
    </w:pPr>
    <w:rPr>
      <w:rFonts w:ascii="Arial" w:hAnsi="Arial" w:cs="Arial"/>
      <w:color w:val="000000"/>
      <w:sz w:val="24"/>
      <w:szCs w:val="24"/>
    </w:rPr>
  </w:style>
  <w:style w:type="paragraph" w:customStyle="1" w:styleId="pshangout">
    <w:name w:val="ps_hang_out"/>
    <w:basedOn w:val="Normal"/>
    <w:rsid w:val="00436F25"/>
    <w:pPr>
      <w:spacing w:before="75" w:after="45"/>
      <w:ind w:hanging="900"/>
    </w:pPr>
    <w:rPr>
      <w:rFonts w:ascii="Arial" w:hAnsi="Arial" w:cs="Arial"/>
      <w:color w:val="000E8A"/>
      <w:sz w:val="26"/>
      <w:szCs w:val="26"/>
      <w:lang w:eastAsia="en-GB"/>
    </w:rPr>
  </w:style>
  <w:style w:type="paragraph" w:styleId="ListParagraph">
    <w:name w:val="List Paragraph"/>
    <w:basedOn w:val="Normal"/>
    <w:uiPriority w:val="34"/>
    <w:qFormat/>
    <w:rsid w:val="00436F25"/>
    <w:pPr>
      <w:ind w:left="720"/>
      <w:contextualSpacing/>
    </w:pPr>
    <w:rPr>
      <w:lang w:eastAsia="en-GB"/>
    </w:rPr>
  </w:style>
  <w:style w:type="table" w:styleId="TableGrid">
    <w:name w:val="Table Grid"/>
    <w:basedOn w:val="TableNormal"/>
    <w:rsid w:val="0043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D7ABD"/>
    <w:rPr>
      <w:sz w:val="16"/>
      <w:szCs w:val="16"/>
    </w:rPr>
  </w:style>
  <w:style w:type="paragraph" w:styleId="CommentText">
    <w:name w:val="annotation text"/>
    <w:basedOn w:val="Normal"/>
    <w:link w:val="CommentTextChar"/>
    <w:rsid w:val="005D7ABD"/>
    <w:rPr>
      <w:sz w:val="20"/>
      <w:szCs w:val="20"/>
    </w:rPr>
  </w:style>
  <w:style w:type="character" w:customStyle="1" w:styleId="CommentTextChar">
    <w:name w:val="Comment Text Char"/>
    <w:basedOn w:val="DefaultParagraphFont"/>
    <w:link w:val="CommentText"/>
    <w:rsid w:val="005D7ABD"/>
    <w:rPr>
      <w:lang w:eastAsia="en-US"/>
    </w:rPr>
  </w:style>
  <w:style w:type="paragraph" w:styleId="CommentSubject">
    <w:name w:val="annotation subject"/>
    <w:basedOn w:val="CommentText"/>
    <w:next w:val="CommentText"/>
    <w:link w:val="CommentSubjectChar"/>
    <w:rsid w:val="005D7ABD"/>
    <w:rPr>
      <w:b/>
      <w:bCs/>
    </w:rPr>
  </w:style>
  <w:style w:type="character" w:customStyle="1" w:styleId="CommentSubjectChar">
    <w:name w:val="Comment Subject Char"/>
    <w:basedOn w:val="CommentTextChar"/>
    <w:link w:val="CommentSubject"/>
    <w:rsid w:val="005D7A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Appendix 1  Non-Formulary Drug Request Form</vt:lpstr>
    </vt:vector>
  </TitlesOfParts>
  <Company>Prontypridd &amp; Rhondda NHS Trust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Non-Formulary Drug Request Form</dc:title>
  <dc:subject/>
  <dc:creator>giovanna nelms</dc:creator>
  <cp:keywords/>
  <dc:description/>
  <cp:lastModifiedBy>Rowena Havard (CTM UHB - Pharmacy)</cp:lastModifiedBy>
  <cp:revision>2</cp:revision>
  <cp:lastPrinted>2019-06-20T13:17:00Z</cp:lastPrinted>
  <dcterms:created xsi:type="dcterms:W3CDTF">2022-05-31T09:29:00Z</dcterms:created>
  <dcterms:modified xsi:type="dcterms:W3CDTF">2022-05-31T09:29:00Z</dcterms:modified>
</cp:coreProperties>
</file>